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F59E2" w14:textId="77777777" w:rsidR="000773F5" w:rsidRPr="00463A82" w:rsidRDefault="005C175B" w:rsidP="00A01272">
      <w:pPr>
        <w:jc w:val="center"/>
        <w:rPr>
          <w:b/>
          <w:sz w:val="22"/>
          <w:szCs w:val="22"/>
        </w:rPr>
      </w:pPr>
      <w:r>
        <w:drawing>
          <wp:anchor distT="0" distB="0" distL="114300" distR="114300" simplePos="0" relativeHeight="251657728" behindDoc="0" locked="0" layoutInCell="1" allowOverlap="1" wp14:anchorId="692E64C3" wp14:editId="41CB5963">
            <wp:simplePos x="0" y="0"/>
            <wp:positionH relativeFrom="column">
              <wp:posOffset>1593850</wp:posOffset>
            </wp:positionH>
            <wp:positionV relativeFrom="paragraph">
              <wp:posOffset>-230505</wp:posOffset>
            </wp:positionV>
            <wp:extent cx="3086100" cy="844550"/>
            <wp:effectExtent l="0" t="0" r="12700" b="0"/>
            <wp:wrapThrough wrapText="bothSides">
              <wp:wrapPolygon edited="0">
                <wp:start x="0" y="0"/>
                <wp:lineTo x="0" y="20788"/>
                <wp:lineTo x="21511" y="20788"/>
                <wp:lineTo x="2151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819C0" w14:textId="77777777" w:rsidR="000773F5" w:rsidRPr="00463A82" w:rsidRDefault="000773F5" w:rsidP="00A01272">
      <w:pPr>
        <w:jc w:val="center"/>
        <w:rPr>
          <w:b/>
          <w:sz w:val="22"/>
          <w:szCs w:val="22"/>
        </w:rPr>
      </w:pPr>
    </w:p>
    <w:p w14:paraId="3678DA2A" w14:textId="2A5A253E" w:rsidR="0039790B" w:rsidRPr="004E5025" w:rsidRDefault="000D232D" w:rsidP="00F907DE">
      <w:pPr>
        <w:tabs>
          <w:tab w:val="right" w:pos="10080"/>
        </w:tabs>
        <w:rPr>
          <w:sz w:val="23"/>
          <w:szCs w:val="23"/>
        </w:rPr>
      </w:pPr>
      <w:r w:rsidRPr="004E5025">
        <w:rPr>
          <w:sz w:val="23"/>
          <w:szCs w:val="23"/>
        </w:rPr>
        <w:tab/>
      </w:r>
    </w:p>
    <w:p w14:paraId="7FCE9DC3" w14:textId="77777777" w:rsidR="00086A54" w:rsidRPr="004E5025" w:rsidRDefault="00086A54" w:rsidP="00A01272">
      <w:pPr>
        <w:jc w:val="center"/>
        <w:rPr>
          <w:b/>
          <w:sz w:val="23"/>
          <w:szCs w:val="23"/>
        </w:rPr>
      </w:pPr>
    </w:p>
    <w:p w14:paraId="3487384D" w14:textId="1CF30ED7" w:rsidR="00B72C42" w:rsidRDefault="003C749E" w:rsidP="00BE2C2C">
      <w:pPr>
        <w:jc w:val="center"/>
        <w:outlineLvl w:val="0"/>
        <w:rPr>
          <w:b/>
          <w:sz w:val="30"/>
          <w:szCs w:val="30"/>
        </w:rPr>
      </w:pPr>
      <w:r>
        <w:rPr>
          <w:b/>
          <w:sz w:val="30"/>
          <w:szCs w:val="30"/>
        </w:rPr>
        <w:t>As</w:t>
      </w:r>
      <w:r w:rsidR="00B93D2F">
        <w:rPr>
          <w:b/>
          <w:sz w:val="30"/>
          <w:szCs w:val="30"/>
        </w:rPr>
        <w:t xml:space="preserve"> </w:t>
      </w:r>
      <w:r w:rsidR="0042315C">
        <w:rPr>
          <w:b/>
          <w:sz w:val="30"/>
          <w:szCs w:val="30"/>
        </w:rPr>
        <w:t>Deadline Looms,</w:t>
      </w:r>
      <w:r w:rsidR="00B93D2F">
        <w:rPr>
          <w:b/>
          <w:sz w:val="30"/>
          <w:szCs w:val="30"/>
        </w:rPr>
        <w:t xml:space="preserve"> </w:t>
      </w:r>
      <w:r w:rsidR="007A2E9B">
        <w:rPr>
          <w:b/>
          <w:sz w:val="30"/>
          <w:szCs w:val="30"/>
        </w:rPr>
        <w:t>WikiLeaks</w:t>
      </w:r>
      <w:r w:rsidR="00210019" w:rsidRPr="00166480">
        <w:rPr>
          <w:b/>
          <w:sz w:val="30"/>
          <w:szCs w:val="30"/>
        </w:rPr>
        <w:t xml:space="preserve"> </w:t>
      </w:r>
      <w:r w:rsidR="00480774">
        <w:rPr>
          <w:b/>
          <w:sz w:val="30"/>
          <w:szCs w:val="30"/>
        </w:rPr>
        <w:t>Reveals Corporate Demands from the European Union in</w:t>
      </w:r>
      <w:r w:rsidR="0042315C">
        <w:rPr>
          <w:b/>
          <w:sz w:val="30"/>
          <w:szCs w:val="30"/>
        </w:rPr>
        <w:t xml:space="preserve"> the Trade in Services Agreement</w:t>
      </w:r>
    </w:p>
    <w:p w14:paraId="19AB2D27" w14:textId="77777777" w:rsidR="003C749E" w:rsidRDefault="003C749E" w:rsidP="00A01272">
      <w:pPr>
        <w:jc w:val="center"/>
        <w:outlineLvl w:val="0"/>
        <w:rPr>
          <w:b/>
          <w:sz w:val="30"/>
          <w:szCs w:val="30"/>
        </w:rPr>
      </w:pPr>
    </w:p>
    <w:p w14:paraId="56EFEC0F" w14:textId="09A9BDF7" w:rsidR="003C749E" w:rsidRDefault="003C749E" w:rsidP="00A01272">
      <w:pPr>
        <w:jc w:val="center"/>
        <w:outlineLvl w:val="0"/>
        <w:rPr>
          <w:b/>
          <w:sz w:val="26"/>
          <w:szCs w:val="26"/>
        </w:rPr>
      </w:pPr>
      <w:r w:rsidRPr="00881E45">
        <w:rPr>
          <w:b/>
          <w:sz w:val="26"/>
          <w:szCs w:val="26"/>
        </w:rPr>
        <w:t xml:space="preserve">Demands by the EU to </w:t>
      </w:r>
      <w:r w:rsidR="007A2E9B">
        <w:rPr>
          <w:b/>
          <w:sz w:val="26"/>
          <w:szCs w:val="26"/>
        </w:rPr>
        <w:t>Lock in</w:t>
      </w:r>
      <w:r w:rsidRPr="00881E45">
        <w:rPr>
          <w:b/>
          <w:sz w:val="26"/>
          <w:szCs w:val="26"/>
        </w:rPr>
        <w:t xml:space="preserve"> Privatization of Public S</w:t>
      </w:r>
      <w:r w:rsidR="00C0498A" w:rsidRPr="00881E45">
        <w:rPr>
          <w:b/>
          <w:sz w:val="26"/>
          <w:szCs w:val="26"/>
        </w:rPr>
        <w:t>ervices in Developing Countries</w:t>
      </w:r>
      <w:r w:rsidR="006B7FC0">
        <w:rPr>
          <w:b/>
          <w:sz w:val="26"/>
          <w:szCs w:val="26"/>
        </w:rPr>
        <w:t>,</w:t>
      </w:r>
      <w:r w:rsidRPr="00881E45">
        <w:rPr>
          <w:b/>
          <w:sz w:val="26"/>
          <w:szCs w:val="26"/>
        </w:rPr>
        <w:t xml:space="preserve"> Financial Services Deregulation</w:t>
      </w:r>
      <w:r w:rsidR="006B7FC0">
        <w:rPr>
          <w:b/>
          <w:sz w:val="26"/>
          <w:szCs w:val="26"/>
        </w:rPr>
        <w:t>,</w:t>
      </w:r>
      <w:r w:rsidR="00C0498A" w:rsidRPr="00881E45">
        <w:rPr>
          <w:b/>
          <w:sz w:val="26"/>
          <w:szCs w:val="26"/>
        </w:rPr>
        <w:t xml:space="preserve"> and </w:t>
      </w:r>
      <w:r w:rsidR="007A2E9B">
        <w:rPr>
          <w:b/>
          <w:sz w:val="26"/>
          <w:szCs w:val="26"/>
        </w:rPr>
        <w:t>Antidevelopment</w:t>
      </w:r>
      <w:r w:rsidR="00C0498A" w:rsidRPr="00881E45">
        <w:rPr>
          <w:b/>
          <w:sz w:val="26"/>
          <w:szCs w:val="26"/>
        </w:rPr>
        <w:t xml:space="preserve"> Provisions</w:t>
      </w:r>
      <w:r w:rsidR="00480774" w:rsidRPr="00881E45">
        <w:rPr>
          <w:b/>
          <w:sz w:val="26"/>
          <w:szCs w:val="26"/>
        </w:rPr>
        <w:t xml:space="preserve"> Reveal</w:t>
      </w:r>
      <w:r w:rsidR="00881E45">
        <w:rPr>
          <w:b/>
          <w:sz w:val="26"/>
          <w:szCs w:val="26"/>
        </w:rPr>
        <w:t xml:space="preserve">ed; </w:t>
      </w:r>
      <w:r w:rsidR="00756A4E" w:rsidRPr="00881E45">
        <w:rPr>
          <w:b/>
          <w:sz w:val="26"/>
          <w:szCs w:val="26"/>
        </w:rPr>
        <w:t>Secretive, Anti</w:t>
      </w:r>
      <w:r w:rsidR="00C345EF">
        <w:rPr>
          <w:b/>
          <w:sz w:val="26"/>
          <w:szCs w:val="26"/>
        </w:rPr>
        <w:t>d</w:t>
      </w:r>
      <w:r w:rsidR="00756A4E" w:rsidRPr="00881E45">
        <w:rPr>
          <w:b/>
          <w:sz w:val="26"/>
          <w:szCs w:val="26"/>
        </w:rPr>
        <w:t xml:space="preserve">emocratic </w:t>
      </w:r>
      <w:r w:rsidR="00881E45">
        <w:rPr>
          <w:b/>
          <w:sz w:val="26"/>
          <w:szCs w:val="26"/>
        </w:rPr>
        <w:t>Deal</w:t>
      </w:r>
      <w:r w:rsidR="00480774" w:rsidRPr="00881E45">
        <w:rPr>
          <w:b/>
          <w:sz w:val="26"/>
          <w:szCs w:val="26"/>
        </w:rPr>
        <w:t xml:space="preserve"> </w:t>
      </w:r>
      <w:r w:rsidR="00881E45" w:rsidRPr="00881E45">
        <w:rPr>
          <w:b/>
          <w:sz w:val="26"/>
          <w:szCs w:val="26"/>
        </w:rPr>
        <w:t>Must Not Be Rushed to Conclusion</w:t>
      </w:r>
    </w:p>
    <w:p w14:paraId="4821055E" w14:textId="77777777" w:rsidR="00F907DE" w:rsidRPr="00BE2C2C" w:rsidRDefault="00F907DE" w:rsidP="00A01272">
      <w:pPr>
        <w:jc w:val="center"/>
        <w:outlineLvl w:val="0"/>
        <w:rPr>
          <w:b/>
          <w:szCs w:val="24"/>
        </w:rPr>
      </w:pPr>
    </w:p>
    <w:p w14:paraId="3ECBF8F1" w14:textId="4D7D9670" w:rsidR="00BE2C2C" w:rsidRPr="00BE2C2C" w:rsidRDefault="00BE2C2C" w:rsidP="00F907DE">
      <w:pPr>
        <w:outlineLvl w:val="0"/>
        <w:rPr>
          <w:noProof w:val="0"/>
          <w:color w:val="6B006D"/>
          <w:szCs w:val="24"/>
          <w:u w:val="single" w:color="6B006D"/>
        </w:rPr>
      </w:pPr>
      <w:hyperlink r:id="rId10" w:history="1">
        <w:r w:rsidRPr="00BE2C2C">
          <w:rPr>
            <w:rStyle w:val="Hyperlink"/>
            <w:noProof w:val="0"/>
            <w:szCs w:val="24"/>
            <w:u w:color="6B006D"/>
          </w:rPr>
          <w:t>http://www.huffingtonpost.com/deborah-james/as-deadline-looms-wikilea_b_12491038.html</w:t>
        </w:r>
      </w:hyperlink>
    </w:p>
    <w:p w14:paraId="35D7C5C9" w14:textId="66012BB0" w:rsidR="00F907DE" w:rsidRPr="00881E45" w:rsidRDefault="00BE2C2C" w:rsidP="00F907DE">
      <w:pPr>
        <w:outlineLvl w:val="0"/>
        <w:rPr>
          <w:b/>
          <w:sz w:val="26"/>
          <w:szCs w:val="26"/>
        </w:rPr>
      </w:pPr>
      <w:r w:rsidRPr="00BE2C2C">
        <w:rPr>
          <w:i/>
          <w:szCs w:val="24"/>
        </w:rPr>
        <w:t>Huffington Post</w:t>
      </w:r>
      <w:r>
        <w:rPr>
          <w:szCs w:val="24"/>
        </w:rPr>
        <w:t xml:space="preserve">, </w:t>
      </w:r>
      <w:r w:rsidR="00F907DE">
        <w:rPr>
          <w:szCs w:val="24"/>
        </w:rPr>
        <w:t xml:space="preserve">October 14, 2016 by </w:t>
      </w:r>
      <w:r w:rsidR="00F907DE" w:rsidRPr="004E5025">
        <w:rPr>
          <w:sz w:val="23"/>
          <w:szCs w:val="23"/>
        </w:rPr>
        <w:t xml:space="preserve">Deborah </w:t>
      </w:r>
      <w:r w:rsidR="00F907DE" w:rsidRPr="002042BB">
        <w:rPr>
          <w:szCs w:val="24"/>
        </w:rPr>
        <w:t>James</w:t>
      </w:r>
    </w:p>
    <w:p w14:paraId="6D3FA098" w14:textId="77777777" w:rsidR="00CD0D4D" w:rsidRPr="004E5025" w:rsidRDefault="00CD0D4D" w:rsidP="00A01272">
      <w:pPr>
        <w:rPr>
          <w:sz w:val="23"/>
          <w:szCs w:val="23"/>
        </w:rPr>
      </w:pPr>
    </w:p>
    <w:p w14:paraId="48998763" w14:textId="10CD55A6" w:rsidR="00480774" w:rsidRDefault="00B93D2F" w:rsidP="00A01272">
      <w:pPr>
        <w:rPr>
          <w:szCs w:val="24"/>
        </w:rPr>
      </w:pPr>
      <w:r>
        <w:rPr>
          <w:szCs w:val="24"/>
        </w:rPr>
        <w:t xml:space="preserve">Today, </w:t>
      </w:r>
      <w:r w:rsidR="002704D9" w:rsidRPr="003C749E">
        <w:rPr>
          <w:szCs w:val="24"/>
        </w:rPr>
        <w:t xml:space="preserve">for the first time, </w:t>
      </w:r>
      <w:hyperlink r:id="rId11" w:history="1">
        <w:r w:rsidR="007A2E9B">
          <w:rPr>
            <w:rStyle w:val="Hyperlink"/>
            <w:szCs w:val="24"/>
          </w:rPr>
          <w:t>WikiLeaks</w:t>
        </w:r>
        <w:r w:rsidRPr="002704D9">
          <w:rPr>
            <w:rStyle w:val="Hyperlink"/>
            <w:szCs w:val="24"/>
          </w:rPr>
          <w:t xml:space="preserve"> </w:t>
        </w:r>
        <w:r w:rsidR="003C749E" w:rsidRPr="002704D9">
          <w:rPr>
            <w:rStyle w:val="Hyperlink"/>
            <w:szCs w:val="24"/>
          </w:rPr>
          <w:t>released demands by the EU</w:t>
        </w:r>
      </w:hyperlink>
      <w:r w:rsidR="003C749E" w:rsidRPr="003C749E">
        <w:rPr>
          <w:szCs w:val="24"/>
        </w:rPr>
        <w:t xml:space="preserve"> </w:t>
      </w:r>
      <w:r w:rsidR="003C749E">
        <w:rPr>
          <w:szCs w:val="24"/>
        </w:rPr>
        <w:t xml:space="preserve">to </w:t>
      </w:r>
      <w:r w:rsidR="007A2E9B">
        <w:rPr>
          <w:szCs w:val="24"/>
        </w:rPr>
        <w:t>lock in</w:t>
      </w:r>
      <w:r w:rsidR="003C749E">
        <w:rPr>
          <w:szCs w:val="24"/>
        </w:rPr>
        <w:t xml:space="preserve"> </w:t>
      </w:r>
      <w:r w:rsidR="00C0498A">
        <w:rPr>
          <w:szCs w:val="24"/>
        </w:rPr>
        <w:t xml:space="preserve">a wide list of services sectors </w:t>
      </w:r>
      <w:r w:rsidR="003C749E">
        <w:rPr>
          <w:szCs w:val="24"/>
        </w:rPr>
        <w:t>to TISA’s privatizati</w:t>
      </w:r>
      <w:r w:rsidR="00C0498A">
        <w:rPr>
          <w:szCs w:val="24"/>
        </w:rPr>
        <w:t xml:space="preserve">on and deregulation provisions, </w:t>
      </w:r>
      <w:r w:rsidR="003C749E">
        <w:rPr>
          <w:szCs w:val="24"/>
        </w:rPr>
        <w:t>including public services in developing countries. In the mid-2000s, when European campaigners leaked similar demands</w:t>
      </w:r>
      <w:r w:rsidR="00480774">
        <w:rPr>
          <w:szCs w:val="24"/>
        </w:rPr>
        <w:t xml:space="preserve"> during corporate efforts to expand the General Agreement on Trade in Services</w:t>
      </w:r>
      <w:r w:rsidR="003C749E">
        <w:rPr>
          <w:szCs w:val="24"/>
        </w:rPr>
        <w:t>, the EU was forced to walk back many of those demands</w:t>
      </w:r>
      <w:r w:rsidR="00480774">
        <w:rPr>
          <w:szCs w:val="24"/>
        </w:rPr>
        <w:t xml:space="preserve">. The European pressure on developing countries was widely condemned by the public, and revealed the corporate, </w:t>
      </w:r>
      <w:r w:rsidR="007A2E9B">
        <w:rPr>
          <w:szCs w:val="24"/>
        </w:rPr>
        <w:t>antidevelopment</w:t>
      </w:r>
      <w:r w:rsidR="00480774">
        <w:rPr>
          <w:szCs w:val="24"/>
        </w:rPr>
        <w:t xml:space="preserve"> efforts behind the deal, just as they are revealed today. </w:t>
      </w:r>
    </w:p>
    <w:p w14:paraId="598A997D" w14:textId="77777777" w:rsidR="00756A4E" w:rsidRDefault="00756A4E" w:rsidP="00A01272">
      <w:pPr>
        <w:rPr>
          <w:szCs w:val="24"/>
        </w:rPr>
      </w:pPr>
    </w:p>
    <w:p w14:paraId="66718158" w14:textId="1A511F3F" w:rsidR="00B943A0" w:rsidRPr="001574B8" w:rsidRDefault="00B943A0" w:rsidP="00B943A0">
      <w:pPr>
        <w:rPr>
          <w:szCs w:val="24"/>
        </w:rPr>
      </w:pPr>
      <w:r w:rsidRPr="001574B8">
        <w:rPr>
          <w:szCs w:val="24"/>
        </w:rPr>
        <w:t xml:space="preserve">Global union federations, </w:t>
      </w:r>
      <w:r w:rsidR="001574B8" w:rsidRPr="001574B8">
        <w:rPr>
          <w:szCs w:val="24"/>
        </w:rPr>
        <w:t xml:space="preserve">including </w:t>
      </w:r>
      <w:r w:rsidR="001574B8" w:rsidRPr="001574B8">
        <w:rPr>
          <w:szCs w:val="24"/>
          <w:lang w:val="en-GB"/>
        </w:rPr>
        <w:t xml:space="preserve">Public Services International (PSI), the </w:t>
      </w:r>
      <w:r w:rsidR="001574B8" w:rsidRPr="001574B8">
        <w:rPr>
          <w:szCs w:val="24"/>
        </w:rPr>
        <w:t xml:space="preserve">International Union of Food workers (IUF), International Transport Workers’ Federation (ITF), UNI Global Union, and Education International (EI) as well as European federations including </w:t>
      </w:r>
      <w:r w:rsidR="001574B8" w:rsidRPr="001574B8">
        <w:rPr>
          <w:szCs w:val="24"/>
          <w:lang w:val="en-GB"/>
        </w:rPr>
        <w:t xml:space="preserve">the </w:t>
      </w:r>
      <w:r w:rsidR="001574B8" w:rsidRPr="001574B8">
        <w:rPr>
          <w:szCs w:val="24"/>
        </w:rPr>
        <w:t xml:space="preserve">European Federation of Public Service Unions (EPSU) and </w:t>
      </w:r>
      <w:r w:rsidR="001574B8" w:rsidRPr="001574B8">
        <w:rPr>
          <w:rFonts w:cs="Calibri"/>
          <w:szCs w:val="24"/>
        </w:rPr>
        <w:t xml:space="preserve">UNI Europa, </w:t>
      </w:r>
      <w:r w:rsidR="00053655">
        <w:rPr>
          <w:rFonts w:cs="Calibri"/>
          <w:szCs w:val="24"/>
        </w:rPr>
        <w:t xml:space="preserve">for the first time </w:t>
      </w:r>
      <w:r w:rsidRPr="001574B8">
        <w:rPr>
          <w:szCs w:val="24"/>
        </w:rPr>
        <w:t xml:space="preserve">made united call to suspend the talks, available </w:t>
      </w:r>
      <w:hyperlink r:id="rId12" w:history="1">
        <w:r w:rsidRPr="001574B8">
          <w:rPr>
            <w:rStyle w:val="Hyperlink"/>
            <w:szCs w:val="24"/>
          </w:rPr>
          <w:t>here</w:t>
        </w:r>
      </w:hyperlink>
      <w:r w:rsidRPr="001574B8">
        <w:rPr>
          <w:szCs w:val="24"/>
        </w:rPr>
        <w:t xml:space="preserve"> [PDF]. </w:t>
      </w:r>
    </w:p>
    <w:p w14:paraId="2B7C0BE6" w14:textId="77777777" w:rsidR="00B943A0" w:rsidRDefault="00B943A0" w:rsidP="00B943A0">
      <w:pPr>
        <w:rPr>
          <w:szCs w:val="24"/>
        </w:rPr>
      </w:pPr>
    </w:p>
    <w:p w14:paraId="6C07C380" w14:textId="7DA61D70" w:rsidR="004B6F14" w:rsidRDefault="00756A4E" w:rsidP="00A01272">
      <w:pPr>
        <w:rPr>
          <w:szCs w:val="24"/>
        </w:rPr>
      </w:pPr>
      <w:r>
        <w:rPr>
          <w:szCs w:val="24"/>
        </w:rPr>
        <w:t xml:space="preserve">Globalization’s cheerleaders are all handwringing about the widespread opposition to trade pacts. But what they don’t acknowledge is that people around the world are not rejecting “trade,” they are rejecting corporate control over our lives. People want to live in a democracy; they want quality, accessible public services; a well-regulated financial sector; and decent jobs for all </w:t>
      </w:r>
      <w:r w:rsidR="007A2E9B">
        <w:rPr>
          <w:szCs w:val="24"/>
        </w:rPr>
        <w:t>―</w:t>
      </w:r>
      <w:r>
        <w:rPr>
          <w:szCs w:val="24"/>
        </w:rPr>
        <w:t xml:space="preserve"> the opposite agenda of the deregulation, locked-in</w:t>
      </w:r>
      <w:r w:rsidR="00F94E2D">
        <w:rPr>
          <w:szCs w:val="24"/>
        </w:rPr>
        <w:t xml:space="preserve"> </w:t>
      </w:r>
      <w:r>
        <w:rPr>
          <w:szCs w:val="24"/>
        </w:rPr>
        <w:t xml:space="preserve">privatization, and </w:t>
      </w:r>
      <w:r w:rsidR="007A2E9B">
        <w:rPr>
          <w:szCs w:val="24"/>
        </w:rPr>
        <w:t>antidevelopment</w:t>
      </w:r>
      <w:r>
        <w:rPr>
          <w:szCs w:val="24"/>
        </w:rPr>
        <w:t xml:space="preserve"> fundamentals of the secret proposed TISA, according to today’s explosive leak. </w:t>
      </w:r>
    </w:p>
    <w:p w14:paraId="45572C2C" w14:textId="77777777" w:rsidR="004B6F14" w:rsidRDefault="004B6F14" w:rsidP="00A01272">
      <w:pPr>
        <w:rPr>
          <w:szCs w:val="24"/>
        </w:rPr>
      </w:pPr>
    </w:p>
    <w:p w14:paraId="352F39AF" w14:textId="3CCE011B" w:rsidR="00756A4E" w:rsidRDefault="004B6F14" w:rsidP="00A01272">
      <w:pPr>
        <w:rPr>
          <w:szCs w:val="24"/>
        </w:rPr>
      </w:pPr>
      <w:r>
        <w:rPr>
          <w:szCs w:val="24"/>
        </w:rPr>
        <w:t>Given that public opposition in Europe to the proposed EU-U.S. Transatlantic Trade and Investment Partnership (TTIP) has put its advance on hold, and the given the growing opposition to the Trans-Pacific Partnership (TPP), corporations and the governments they represent have been hoping to get the TiSA completed before a change in U.S. administration. But t</w:t>
      </w:r>
      <w:r w:rsidR="00756A4E">
        <w:rPr>
          <w:szCs w:val="24"/>
        </w:rPr>
        <w:t xml:space="preserve">his </w:t>
      </w:r>
      <w:r w:rsidR="00F907DE">
        <w:rPr>
          <w:szCs w:val="24"/>
        </w:rPr>
        <w:t xml:space="preserve">corporate </w:t>
      </w:r>
      <w:r w:rsidR="00756A4E">
        <w:rPr>
          <w:szCs w:val="24"/>
        </w:rPr>
        <w:t xml:space="preserve">charade must not be </w:t>
      </w:r>
      <w:r w:rsidR="00881E45">
        <w:rPr>
          <w:szCs w:val="24"/>
        </w:rPr>
        <w:t>hastened to a conclusion</w:t>
      </w:r>
      <w:r w:rsidR="00756A4E">
        <w:rPr>
          <w:szCs w:val="24"/>
        </w:rPr>
        <w:t xml:space="preserve"> before </w:t>
      </w:r>
      <w:r w:rsidR="00881E45">
        <w:rPr>
          <w:szCs w:val="24"/>
        </w:rPr>
        <w:t xml:space="preserve">President </w:t>
      </w:r>
      <w:r w:rsidR="00756A4E">
        <w:rPr>
          <w:szCs w:val="24"/>
        </w:rPr>
        <w:t>Obama leaves office</w:t>
      </w:r>
      <w:r w:rsidR="00881E45">
        <w:rPr>
          <w:szCs w:val="24"/>
        </w:rPr>
        <w:t xml:space="preserve">, without the </w:t>
      </w:r>
      <w:r w:rsidR="00F94E2D">
        <w:rPr>
          <w:szCs w:val="24"/>
        </w:rPr>
        <w:t xml:space="preserve">global </w:t>
      </w:r>
      <w:r w:rsidR="00881E45">
        <w:rPr>
          <w:szCs w:val="24"/>
        </w:rPr>
        <w:t>public even hearing of it, let alone debating its pros and cons</w:t>
      </w:r>
      <w:r w:rsidR="00F907DE">
        <w:rPr>
          <w:szCs w:val="24"/>
        </w:rPr>
        <w:t xml:space="preserve">. </w:t>
      </w:r>
      <w:r w:rsidR="00756A4E">
        <w:rPr>
          <w:szCs w:val="24"/>
        </w:rPr>
        <w:t xml:space="preserve"> </w:t>
      </w:r>
    </w:p>
    <w:p w14:paraId="2087583D" w14:textId="77777777" w:rsidR="00480774" w:rsidRDefault="00480774" w:rsidP="00A01272">
      <w:pPr>
        <w:rPr>
          <w:szCs w:val="24"/>
        </w:rPr>
      </w:pPr>
    </w:p>
    <w:p w14:paraId="20080E0F" w14:textId="7EAE49E1" w:rsidR="002704D9" w:rsidRDefault="0042315C" w:rsidP="00A01272">
      <w:pPr>
        <w:rPr>
          <w:szCs w:val="24"/>
        </w:rPr>
      </w:pPr>
      <w:r>
        <w:rPr>
          <w:szCs w:val="24"/>
        </w:rPr>
        <w:t>Negotiators are</w:t>
      </w:r>
      <w:r w:rsidR="00203590">
        <w:rPr>
          <w:szCs w:val="24"/>
        </w:rPr>
        <w:t xml:space="preserve"> being</w:t>
      </w:r>
      <w:r>
        <w:rPr>
          <w:szCs w:val="24"/>
        </w:rPr>
        <w:t xml:space="preserve"> pressure</w:t>
      </w:r>
      <w:r w:rsidR="00203590">
        <w:rPr>
          <w:szCs w:val="24"/>
        </w:rPr>
        <w:t>d</w:t>
      </w:r>
      <w:r>
        <w:rPr>
          <w:szCs w:val="24"/>
        </w:rPr>
        <w:t xml:space="preserve"> to decide if they will cave to the EU demands or reserve</w:t>
      </w:r>
      <w:r w:rsidR="00203590">
        <w:rPr>
          <w:szCs w:val="24"/>
        </w:rPr>
        <w:t xml:space="preserve"> policy space and</w:t>
      </w:r>
      <w:r>
        <w:rPr>
          <w:szCs w:val="24"/>
        </w:rPr>
        <w:t xml:space="preserve"> sectors for national companies that can better promote jobs and economic growth. Parties have set an October 21 deadline for the revised offers, which will be followed by another Round of negotiations on November 2</w:t>
      </w:r>
      <w:r w:rsidR="00F94E2D">
        <w:rPr>
          <w:szCs w:val="24"/>
        </w:rPr>
        <w:t>–</w:t>
      </w:r>
      <w:r>
        <w:rPr>
          <w:szCs w:val="24"/>
        </w:rPr>
        <w:t xml:space="preserve">10 and the intention to finalize the deal </w:t>
      </w:r>
      <w:r w:rsidR="00F94E2D">
        <w:rPr>
          <w:szCs w:val="24"/>
        </w:rPr>
        <w:t>(</w:t>
      </w:r>
      <w:r>
        <w:rPr>
          <w:szCs w:val="24"/>
        </w:rPr>
        <w:t>negotiated almost completely behind closed doors with very limited public awareness and almost no input aside from that of corporate advisers</w:t>
      </w:r>
      <w:r w:rsidR="00DF6071">
        <w:rPr>
          <w:szCs w:val="24"/>
        </w:rPr>
        <w:t>, despite growing resistance to corporate trade agreements globally</w:t>
      </w:r>
      <w:r w:rsidR="00F94E2D">
        <w:rPr>
          <w:szCs w:val="24"/>
        </w:rPr>
        <w:t>)</w:t>
      </w:r>
      <w:r>
        <w:rPr>
          <w:szCs w:val="24"/>
        </w:rPr>
        <w:t xml:space="preserve"> by a December 5</w:t>
      </w:r>
      <w:r w:rsidR="00F94E2D">
        <w:rPr>
          <w:szCs w:val="24"/>
        </w:rPr>
        <w:t>–</w:t>
      </w:r>
      <w:r>
        <w:rPr>
          <w:szCs w:val="24"/>
        </w:rPr>
        <w:t xml:space="preserve">6 </w:t>
      </w:r>
      <w:r w:rsidR="00F94E2D">
        <w:rPr>
          <w:szCs w:val="24"/>
        </w:rPr>
        <w:t>m</w:t>
      </w:r>
      <w:r>
        <w:rPr>
          <w:szCs w:val="24"/>
        </w:rPr>
        <w:t xml:space="preserve">inisterial. </w:t>
      </w:r>
    </w:p>
    <w:p w14:paraId="617A04C9" w14:textId="77777777" w:rsidR="00480774" w:rsidRDefault="00480774" w:rsidP="00480774">
      <w:pPr>
        <w:rPr>
          <w:szCs w:val="24"/>
        </w:rPr>
      </w:pPr>
    </w:p>
    <w:p w14:paraId="64941991" w14:textId="139AE38C" w:rsidR="003C749E" w:rsidRDefault="003C749E" w:rsidP="00A01272">
      <w:pPr>
        <w:rPr>
          <w:szCs w:val="24"/>
        </w:rPr>
      </w:pPr>
      <w:r>
        <w:rPr>
          <w:szCs w:val="24"/>
        </w:rPr>
        <w:t xml:space="preserve">The </w:t>
      </w:r>
      <w:r w:rsidR="00F94E2D">
        <w:rPr>
          <w:szCs w:val="24"/>
        </w:rPr>
        <w:t>leaked</w:t>
      </w:r>
      <w:r w:rsidR="00E81163">
        <w:rPr>
          <w:szCs w:val="24"/>
        </w:rPr>
        <w:t xml:space="preserve"> EU “requests” </w:t>
      </w:r>
      <w:r>
        <w:rPr>
          <w:szCs w:val="24"/>
        </w:rPr>
        <w:t xml:space="preserve">include </w:t>
      </w:r>
      <w:r w:rsidR="00F94E2D">
        <w:rPr>
          <w:szCs w:val="24"/>
        </w:rPr>
        <w:t xml:space="preserve">asks </w:t>
      </w:r>
      <w:r>
        <w:rPr>
          <w:szCs w:val="24"/>
        </w:rPr>
        <w:t xml:space="preserve">that Costa Rica and Peru </w:t>
      </w:r>
      <w:r w:rsidR="00AB7C60">
        <w:rPr>
          <w:szCs w:val="24"/>
        </w:rPr>
        <w:t xml:space="preserve">subject </w:t>
      </w:r>
      <w:r>
        <w:rPr>
          <w:szCs w:val="24"/>
        </w:rPr>
        <w:t>services offered at the subnational</w:t>
      </w:r>
      <w:r w:rsidR="002704D9">
        <w:rPr>
          <w:szCs w:val="24"/>
        </w:rPr>
        <w:t xml:space="preserve"> (local) level to the TISA</w:t>
      </w:r>
      <w:r w:rsidR="004B6F14">
        <w:rPr>
          <w:szCs w:val="24"/>
        </w:rPr>
        <w:t xml:space="preserve"> liberalization</w:t>
      </w:r>
      <w:r w:rsidR="002704D9">
        <w:rPr>
          <w:szCs w:val="24"/>
        </w:rPr>
        <w:t xml:space="preserve"> rules. U</w:t>
      </w:r>
      <w:r>
        <w:rPr>
          <w:szCs w:val="24"/>
        </w:rPr>
        <w:t xml:space="preserve">nless the EU can demonstrate that all services offered in every municipality in these countries </w:t>
      </w:r>
      <w:r w:rsidR="00F94E2D">
        <w:rPr>
          <w:szCs w:val="24"/>
        </w:rPr>
        <w:t>are</w:t>
      </w:r>
      <w:r>
        <w:rPr>
          <w:szCs w:val="24"/>
        </w:rPr>
        <w:t xml:space="preserve"> already open</w:t>
      </w:r>
      <w:r w:rsidR="00480774">
        <w:rPr>
          <w:szCs w:val="24"/>
        </w:rPr>
        <w:t xml:space="preserve"> to foreign suppliers</w:t>
      </w:r>
      <w:r>
        <w:rPr>
          <w:szCs w:val="24"/>
        </w:rPr>
        <w:t xml:space="preserve">, these are demands </w:t>
      </w:r>
      <w:r w:rsidR="00DC6908">
        <w:rPr>
          <w:szCs w:val="24"/>
        </w:rPr>
        <w:t>that would lock in any</w:t>
      </w:r>
      <w:r>
        <w:rPr>
          <w:szCs w:val="24"/>
        </w:rPr>
        <w:t xml:space="preserve"> </w:t>
      </w:r>
      <w:r>
        <w:rPr>
          <w:szCs w:val="24"/>
        </w:rPr>
        <w:lastRenderedPageBreak/>
        <w:t>privatization of public services</w:t>
      </w:r>
      <w:r w:rsidR="00DC6908">
        <w:rPr>
          <w:szCs w:val="24"/>
        </w:rPr>
        <w:t xml:space="preserve"> at the local level</w:t>
      </w:r>
      <w:r>
        <w:rPr>
          <w:szCs w:val="24"/>
        </w:rPr>
        <w:t xml:space="preserve"> </w:t>
      </w:r>
      <w:r w:rsidR="008921AF">
        <w:rPr>
          <w:szCs w:val="24"/>
        </w:rPr>
        <w:t xml:space="preserve">and open those services to competition from foreign services providers </w:t>
      </w:r>
      <w:r w:rsidR="00F94E2D">
        <w:rPr>
          <w:szCs w:val="24"/>
        </w:rPr>
        <w:t>―</w:t>
      </w:r>
      <w:r>
        <w:rPr>
          <w:szCs w:val="24"/>
        </w:rPr>
        <w:t xml:space="preserve"> which the EU has constantly claimed it is not asking for. </w:t>
      </w:r>
    </w:p>
    <w:p w14:paraId="183BAE00" w14:textId="77777777" w:rsidR="003C749E" w:rsidRDefault="003C749E" w:rsidP="00A01272">
      <w:pPr>
        <w:rPr>
          <w:szCs w:val="24"/>
        </w:rPr>
      </w:pPr>
    </w:p>
    <w:p w14:paraId="448EE9A0" w14:textId="27849F00" w:rsidR="003C749E" w:rsidRDefault="003C749E" w:rsidP="00A01272">
      <w:pPr>
        <w:rPr>
          <w:szCs w:val="24"/>
        </w:rPr>
      </w:pPr>
      <w:r>
        <w:rPr>
          <w:szCs w:val="24"/>
        </w:rPr>
        <w:t xml:space="preserve">The EU’s demands also include access to postal services in Chile, Costa Rica, Mexico, Pakistan, Panama, Peru, and Turkey, </w:t>
      </w:r>
      <w:r w:rsidR="00F94E2D">
        <w:rPr>
          <w:szCs w:val="24"/>
        </w:rPr>
        <w:t>and in</w:t>
      </w:r>
      <w:r>
        <w:rPr>
          <w:szCs w:val="24"/>
        </w:rPr>
        <w:t xml:space="preserve"> several developed countries participating in the talks. </w:t>
      </w:r>
      <w:r w:rsidR="007E39CF">
        <w:rPr>
          <w:szCs w:val="24"/>
        </w:rPr>
        <w:t>M</w:t>
      </w:r>
      <w:r w:rsidR="002704D9">
        <w:rPr>
          <w:szCs w:val="24"/>
        </w:rPr>
        <w:t xml:space="preserve">any countries maintain cross-subsidization programs that are an important part of enabling national communication from rural areas. If countries make commitments in this sector, then they would have to provide the same subsidies to foreign corporations as their own domestic firms, and would not be able to renationalize the sector if privatization was found to have adverse impacts. </w:t>
      </w:r>
    </w:p>
    <w:p w14:paraId="6B4ACBEE" w14:textId="77777777" w:rsidR="002704D9" w:rsidRDefault="002704D9" w:rsidP="00A01272">
      <w:pPr>
        <w:rPr>
          <w:szCs w:val="24"/>
        </w:rPr>
      </w:pPr>
    </w:p>
    <w:p w14:paraId="2AEC5714" w14:textId="113B68D2" w:rsidR="007E39CF" w:rsidRDefault="002704D9" w:rsidP="00A01272">
      <w:pPr>
        <w:rPr>
          <w:szCs w:val="24"/>
        </w:rPr>
      </w:pPr>
      <w:r>
        <w:rPr>
          <w:szCs w:val="24"/>
        </w:rPr>
        <w:t xml:space="preserve">The EU’s demands </w:t>
      </w:r>
      <w:r w:rsidR="00F94E2D">
        <w:rPr>
          <w:szCs w:val="24"/>
        </w:rPr>
        <w:t xml:space="preserve">also </w:t>
      </w:r>
      <w:r>
        <w:rPr>
          <w:szCs w:val="24"/>
        </w:rPr>
        <w:t>include access to sanitation, sewage, and other environmental services, which are often administered on a local level; telecommunications (including broadcasting); retail and distribution services; shipping; air and maritime transport; energy and mining services</w:t>
      </w:r>
      <w:r w:rsidR="00F94E2D">
        <w:rPr>
          <w:szCs w:val="24"/>
        </w:rPr>
        <w:t xml:space="preserve"> (</w:t>
      </w:r>
      <w:r>
        <w:rPr>
          <w:szCs w:val="24"/>
        </w:rPr>
        <w:t>which are extremely sensitive particularly in Latin America</w:t>
      </w:r>
      <w:r w:rsidR="00F94E2D">
        <w:rPr>
          <w:szCs w:val="24"/>
        </w:rPr>
        <w:t>)</w:t>
      </w:r>
      <w:r>
        <w:rPr>
          <w:szCs w:val="24"/>
        </w:rPr>
        <w:t xml:space="preserve">; and others. </w:t>
      </w:r>
      <w:r w:rsidR="007E39CF">
        <w:rPr>
          <w:szCs w:val="24"/>
        </w:rPr>
        <w:t xml:space="preserve">In addition, the EU is requesting more commitments on </w:t>
      </w:r>
      <w:r w:rsidR="00F94E2D">
        <w:rPr>
          <w:szCs w:val="24"/>
        </w:rPr>
        <w:t>f</w:t>
      </w:r>
      <w:r w:rsidR="007E39CF">
        <w:rPr>
          <w:szCs w:val="24"/>
        </w:rPr>
        <w:t xml:space="preserve">inancial </w:t>
      </w:r>
      <w:r w:rsidR="00F94E2D">
        <w:rPr>
          <w:szCs w:val="24"/>
        </w:rPr>
        <w:t>s</w:t>
      </w:r>
      <w:r w:rsidR="007E39CF">
        <w:rPr>
          <w:szCs w:val="24"/>
        </w:rPr>
        <w:t xml:space="preserve">ervices in nearly every country. </w:t>
      </w:r>
    </w:p>
    <w:p w14:paraId="6318FE60" w14:textId="77777777" w:rsidR="007E39CF" w:rsidRDefault="007E39CF" w:rsidP="00A01272">
      <w:pPr>
        <w:rPr>
          <w:szCs w:val="24"/>
        </w:rPr>
      </w:pPr>
    </w:p>
    <w:p w14:paraId="1E2E63E4" w14:textId="31DA2FF2" w:rsidR="00F907DE" w:rsidRDefault="007E39CF" w:rsidP="00A01272">
      <w:pPr>
        <w:rPr>
          <w:szCs w:val="24"/>
        </w:rPr>
      </w:pPr>
      <w:r>
        <w:rPr>
          <w:szCs w:val="24"/>
        </w:rPr>
        <w:t xml:space="preserve">Demands for further </w:t>
      </w:r>
      <w:r w:rsidR="00F94E2D">
        <w:rPr>
          <w:szCs w:val="24"/>
        </w:rPr>
        <w:t>f</w:t>
      </w:r>
      <w:r>
        <w:rPr>
          <w:szCs w:val="24"/>
        </w:rPr>
        <w:t xml:space="preserve">inancial </w:t>
      </w:r>
      <w:r w:rsidR="00F94E2D">
        <w:rPr>
          <w:szCs w:val="24"/>
        </w:rPr>
        <w:t>s</w:t>
      </w:r>
      <w:r>
        <w:rPr>
          <w:szCs w:val="24"/>
        </w:rPr>
        <w:t xml:space="preserve">ervices to be included in the </w:t>
      </w:r>
      <w:r w:rsidR="00F94E2D">
        <w:rPr>
          <w:szCs w:val="24"/>
        </w:rPr>
        <w:t>s</w:t>
      </w:r>
      <w:r>
        <w:rPr>
          <w:szCs w:val="24"/>
        </w:rPr>
        <w:t xml:space="preserve">chedules is especially problematic given </w:t>
      </w:r>
      <w:r w:rsidR="0081013F">
        <w:rPr>
          <w:szCs w:val="24"/>
        </w:rPr>
        <w:t xml:space="preserve">the rules in </w:t>
      </w:r>
      <w:r>
        <w:rPr>
          <w:szCs w:val="24"/>
        </w:rPr>
        <w:t xml:space="preserve">the updated version of the </w:t>
      </w:r>
      <w:r w:rsidR="00F94E2D">
        <w:rPr>
          <w:szCs w:val="24"/>
        </w:rPr>
        <w:t>f</w:t>
      </w:r>
      <w:r>
        <w:rPr>
          <w:szCs w:val="24"/>
        </w:rPr>
        <w:t xml:space="preserve">inancial </w:t>
      </w:r>
      <w:r w:rsidR="00F94E2D">
        <w:rPr>
          <w:szCs w:val="24"/>
        </w:rPr>
        <w:t>s</w:t>
      </w:r>
      <w:r>
        <w:rPr>
          <w:szCs w:val="24"/>
        </w:rPr>
        <w:t xml:space="preserve">ervices </w:t>
      </w:r>
      <w:r w:rsidR="00F94E2D">
        <w:rPr>
          <w:szCs w:val="24"/>
        </w:rPr>
        <w:t>a</w:t>
      </w:r>
      <w:r>
        <w:rPr>
          <w:szCs w:val="24"/>
        </w:rPr>
        <w:t>nnex</w:t>
      </w:r>
      <w:r w:rsidR="00F94E2D">
        <w:rPr>
          <w:szCs w:val="24"/>
        </w:rPr>
        <w:t>,</w:t>
      </w:r>
      <w:r>
        <w:rPr>
          <w:szCs w:val="24"/>
        </w:rPr>
        <w:t xml:space="preserve"> also published today. </w:t>
      </w:r>
    </w:p>
    <w:p w14:paraId="41AF3F50" w14:textId="77777777" w:rsidR="00F907DE" w:rsidRDefault="00F907DE" w:rsidP="00A01272">
      <w:pPr>
        <w:rPr>
          <w:szCs w:val="24"/>
        </w:rPr>
      </w:pPr>
    </w:p>
    <w:p w14:paraId="1314373A" w14:textId="45404115" w:rsidR="00A929D9" w:rsidRDefault="007E39CF" w:rsidP="00A01272">
      <w:pPr>
        <w:rPr>
          <w:rFonts w:ascii="Times" w:hAnsi="Times"/>
        </w:rPr>
      </w:pPr>
      <w:r>
        <w:rPr>
          <w:szCs w:val="24"/>
        </w:rPr>
        <w:t>According to the analysis provided by University of Auckland law professor Jane Kelsey, under the proposed TISA rules, governments “could not restrict the size of financial institutions;” “</w:t>
      </w:r>
      <w:r w:rsidRPr="007A0A56">
        <w:rPr>
          <w:rFonts w:ascii="Times" w:hAnsi="Times"/>
        </w:rPr>
        <w:t xml:space="preserve">no firewalls </w:t>
      </w:r>
      <w:r>
        <w:rPr>
          <w:rFonts w:ascii="Times" w:hAnsi="Times"/>
        </w:rPr>
        <w:t xml:space="preserve">would be allowed </w:t>
      </w:r>
      <w:r w:rsidRPr="007A0A56">
        <w:rPr>
          <w:rFonts w:ascii="Times" w:hAnsi="Times"/>
        </w:rPr>
        <w:t xml:space="preserve">between insurance, investment banking, </w:t>
      </w:r>
      <w:r w:rsidR="00F94E2D">
        <w:rPr>
          <w:rFonts w:ascii="Times" w:hAnsi="Times"/>
        </w:rPr>
        <w:t xml:space="preserve">[and] </w:t>
      </w:r>
      <w:r w:rsidRPr="007A0A56">
        <w:rPr>
          <w:rFonts w:ascii="Times" w:hAnsi="Times"/>
        </w:rPr>
        <w:t xml:space="preserve">retail banking to prevent use of depositors’ funds for speculative </w:t>
      </w:r>
      <w:r>
        <w:rPr>
          <w:rFonts w:ascii="Times" w:hAnsi="Times"/>
        </w:rPr>
        <w:t>market trades</w:t>
      </w:r>
      <w:r w:rsidR="00F94E2D">
        <w:rPr>
          <w:rFonts w:ascii="Times" w:hAnsi="Times"/>
        </w:rPr>
        <w:t>.</w:t>
      </w:r>
      <w:r>
        <w:rPr>
          <w:rFonts w:ascii="Times" w:hAnsi="Times"/>
        </w:rPr>
        <w:t xml:space="preserve">” </w:t>
      </w:r>
      <w:r w:rsidR="00F94E2D">
        <w:rPr>
          <w:rFonts w:ascii="Times" w:hAnsi="Times"/>
        </w:rPr>
        <w:t xml:space="preserve">The banning of </w:t>
      </w:r>
      <w:r>
        <w:rPr>
          <w:rFonts w:ascii="Times" w:hAnsi="Times"/>
        </w:rPr>
        <w:t xml:space="preserve">toxic financial services and products would not be allowed </w:t>
      </w:r>
      <w:r w:rsidR="00F94E2D">
        <w:rPr>
          <w:rFonts w:ascii="Times" w:hAnsi="Times"/>
        </w:rPr>
        <w:t>―</w:t>
      </w:r>
      <w:r>
        <w:rPr>
          <w:rFonts w:ascii="Times" w:hAnsi="Times"/>
        </w:rPr>
        <w:t xml:space="preserve">including products developed in the future; severe restrictions would be placed on the </w:t>
      </w:r>
      <w:r w:rsidR="00F94E2D">
        <w:rPr>
          <w:rFonts w:ascii="Times" w:hAnsi="Times"/>
        </w:rPr>
        <w:t>use</w:t>
      </w:r>
      <w:r>
        <w:rPr>
          <w:rFonts w:ascii="Times" w:hAnsi="Times"/>
        </w:rPr>
        <w:t xml:space="preserve"> of capital controls; financial firms would have the right to intervene in the policy-making processes of other parties’ legislatures, and in many areas, would be allowed to “self-regulate</w:t>
      </w:r>
      <w:r w:rsidR="00480774">
        <w:rPr>
          <w:rFonts w:ascii="Times" w:hAnsi="Times"/>
        </w:rPr>
        <w:t>,</w:t>
      </w:r>
      <w:r>
        <w:rPr>
          <w:rFonts w:ascii="Times" w:hAnsi="Times"/>
        </w:rPr>
        <w:t>”</w:t>
      </w:r>
      <w:r w:rsidR="00C0498A">
        <w:rPr>
          <w:rFonts w:ascii="Times" w:hAnsi="Times"/>
        </w:rPr>
        <w:t xml:space="preserve"> </w:t>
      </w:r>
      <w:r w:rsidR="00480774">
        <w:rPr>
          <w:rFonts w:ascii="Times" w:hAnsi="Times"/>
        </w:rPr>
        <w:t xml:space="preserve">even when these firms have been shown unable to do so. </w:t>
      </w:r>
    </w:p>
    <w:p w14:paraId="1313432D" w14:textId="77777777" w:rsidR="00A929D9" w:rsidRDefault="00A929D9" w:rsidP="00A01272">
      <w:pPr>
        <w:rPr>
          <w:rFonts w:ascii="Times" w:hAnsi="Times"/>
        </w:rPr>
      </w:pPr>
    </w:p>
    <w:p w14:paraId="3F1AD2AF" w14:textId="4D4C03A4" w:rsidR="007E39CF" w:rsidRDefault="00C0498A" w:rsidP="00A01272">
      <w:pPr>
        <w:rPr>
          <w:rFonts w:ascii="Times" w:hAnsi="Times"/>
        </w:rPr>
      </w:pPr>
      <w:r>
        <w:rPr>
          <w:rFonts w:ascii="Times" w:hAnsi="Times"/>
        </w:rPr>
        <w:t>In addition, states</w:t>
      </w:r>
      <w:r w:rsidR="007E39CF">
        <w:rPr>
          <w:rFonts w:ascii="Times" w:hAnsi="Times"/>
        </w:rPr>
        <w:t xml:space="preserve"> would not be allowed to restrict the cross-border transfer of sensitive financial data when comp</w:t>
      </w:r>
      <w:r>
        <w:rPr>
          <w:rFonts w:ascii="Times" w:hAnsi="Times"/>
        </w:rPr>
        <w:t xml:space="preserve">anies decide it </w:t>
      </w:r>
      <w:r w:rsidR="002A4BF4">
        <w:rPr>
          <w:rFonts w:ascii="Times" w:hAnsi="Times"/>
        </w:rPr>
        <w:t xml:space="preserve">is </w:t>
      </w:r>
      <w:r>
        <w:rPr>
          <w:rFonts w:ascii="Times" w:hAnsi="Times"/>
        </w:rPr>
        <w:t xml:space="preserve">necessary. This is emerging as a hot-button issue between the United States, which demands unfettered cross-border data transfer, and the EU, which on October 11 issued a revised privacy rule </w:t>
      </w:r>
      <w:r w:rsidR="002A4BF4">
        <w:rPr>
          <w:rFonts w:ascii="Times" w:hAnsi="Times"/>
        </w:rPr>
        <w:t xml:space="preserve">that </w:t>
      </w:r>
      <w:r>
        <w:rPr>
          <w:rFonts w:ascii="Times" w:hAnsi="Times"/>
        </w:rPr>
        <w:t xml:space="preserve">contradicts the US position. </w:t>
      </w:r>
    </w:p>
    <w:p w14:paraId="368EDD9B" w14:textId="77777777" w:rsidR="009B45E2" w:rsidRDefault="009B45E2" w:rsidP="00A01272">
      <w:pPr>
        <w:rPr>
          <w:szCs w:val="24"/>
        </w:rPr>
      </w:pPr>
    </w:p>
    <w:p w14:paraId="13C53783" w14:textId="37CD5F07" w:rsidR="00C0498A" w:rsidRDefault="00C0498A" w:rsidP="00A01272">
      <w:pPr>
        <w:rPr>
          <w:szCs w:val="24"/>
        </w:rPr>
      </w:pPr>
      <w:r>
        <w:rPr>
          <w:szCs w:val="24"/>
        </w:rPr>
        <w:t xml:space="preserve">The leak also includes a series of </w:t>
      </w:r>
      <w:r w:rsidR="007A2E9B">
        <w:rPr>
          <w:szCs w:val="24"/>
        </w:rPr>
        <w:t>antidevelopment</w:t>
      </w:r>
      <w:r>
        <w:rPr>
          <w:szCs w:val="24"/>
        </w:rPr>
        <w:t xml:space="preserve"> provisions in the </w:t>
      </w:r>
      <w:r w:rsidR="002A4BF4">
        <w:rPr>
          <w:szCs w:val="24"/>
        </w:rPr>
        <w:t>l</w:t>
      </w:r>
      <w:r>
        <w:rPr>
          <w:szCs w:val="24"/>
        </w:rPr>
        <w:t xml:space="preserve">ocalization </w:t>
      </w:r>
      <w:r w:rsidR="002A4BF4">
        <w:rPr>
          <w:szCs w:val="24"/>
        </w:rPr>
        <w:t>p</w:t>
      </w:r>
      <w:r>
        <w:rPr>
          <w:szCs w:val="24"/>
        </w:rPr>
        <w:t xml:space="preserve">rovisions annex. “Localization” refers to rules that most developed countries used in their development to help local firms until they were ready to compete in the international market. These include requirements for transfer of technology; the hiring of local staff; the hiring of local managers who would gain knowledge of how to run the company; </w:t>
      </w:r>
      <w:r w:rsidR="004B6F14">
        <w:rPr>
          <w:szCs w:val="24"/>
        </w:rPr>
        <w:t>capital requirements to guarantee local</w:t>
      </w:r>
      <w:r>
        <w:rPr>
          <w:szCs w:val="24"/>
        </w:rPr>
        <w:t xml:space="preserve"> deposits; and the use of local inputs. </w:t>
      </w:r>
    </w:p>
    <w:p w14:paraId="6E23E836" w14:textId="77777777" w:rsidR="00C0498A" w:rsidRDefault="00C0498A" w:rsidP="00A01272">
      <w:pPr>
        <w:rPr>
          <w:szCs w:val="24"/>
        </w:rPr>
      </w:pPr>
    </w:p>
    <w:p w14:paraId="56A3CE96" w14:textId="60B96159" w:rsidR="0012624E" w:rsidRDefault="00C0498A" w:rsidP="00A01272">
      <w:pPr>
        <w:rPr>
          <w:szCs w:val="24"/>
        </w:rPr>
      </w:pPr>
      <w:r>
        <w:rPr>
          <w:szCs w:val="24"/>
        </w:rPr>
        <w:t xml:space="preserve">In fact, these are the very mechanisms by which proponents of the TISA have argued that developing countries will benefit </w:t>
      </w:r>
      <w:r w:rsidR="002A4BF4">
        <w:rPr>
          <w:szCs w:val="24"/>
        </w:rPr>
        <w:t xml:space="preserve">from </w:t>
      </w:r>
      <w:r>
        <w:rPr>
          <w:szCs w:val="24"/>
        </w:rPr>
        <w:t xml:space="preserve">the presence of foreign transnational companies. However, the </w:t>
      </w:r>
      <w:r w:rsidR="002A4BF4">
        <w:rPr>
          <w:szCs w:val="24"/>
        </w:rPr>
        <w:t>l</w:t>
      </w:r>
      <w:r>
        <w:rPr>
          <w:szCs w:val="24"/>
        </w:rPr>
        <w:t xml:space="preserve">ocalization </w:t>
      </w:r>
      <w:r w:rsidR="00A929D9">
        <w:rPr>
          <w:szCs w:val="24"/>
        </w:rPr>
        <w:t>a</w:t>
      </w:r>
      <w:r>
        <w:rPr>
          <w:szCs w:val="24"/>
        </w:rPr>
        <w:t xml:space="preserve">nnex actually </w:t>
      </w:r>
      <w:r w:rsidR="0081013F">
        <w:rPr>
          <w:szCs w:val="24"/>
        </w:rPr>
        <w:t>restricts</w:t>
      </w:r>
      <w:r>
        <w:rPr>
          <w:szCs w:val="24"/>
        </w:rPr>
        <w:t xml:space="preserve"> TISA members from requiring those mechanisms; it even goes so far as to </w:t>
      </w:r>
      <w:r w:rsidR="0081013F">
        <w:rPr>
          <w:szCs w:val="24"/>
        </w:rPr>
        <w:t xml:space="preserve">restrict </w:t>
      </w:r>
      <w:r>
        <w:rPr>
          <w:szCs w:val="24"/>
        </w:rPr>
        <w:t xml:space="preserve">countries from requiring that a company have a local presence (like a branch office) in order to provide cross-border services. In essence, this means that the “development” aspects touted by proponents are a </w:t>
      </w:r>
      <w:r w:rsidR="00EF7420">
        <w:rPr>
          <w:szCs w:val="24"/>
        </w:rPr>
        <w:t>fig leaf</w:t>
      </w:r>
      <w:r>
        <w:rPr>
          <w:szCs w:val="24"/>
        </w:rPr>
        <w:t xml:space="preserve"> because they are </w:t>
      </w:r>
      <w:r w:rsidR="0081013F">
        <w:rPr>
          <w:szCs w:val="24"/>
        </w:rPr>
        <w:t xml:space="preserve">restricted </w:t>
      </w:r>
      <w:r>
        <w:rPr>
          <w:szCs w:val="24"/>
        </w:rPr>
        <w:t xml:space="preserve">by the very same agreement. </w:t>
      </w:r>
    </w:p>
    <w:p w14:paraId="0EEFCA47" w14:textId="77777777" w:rsidR="00881E45" w:rsidRDefault="00881E45" w:rsidP="00881E45">
      <w:pPr>
        <w:rPr>
          <w:szCs w:val="24"/>
        </w:rPr>
      </w:pPr>
    </w:p>
    <w:p w14:paraId="202FB274" w14:textId="75D8AC71" w:rsidR="00881E45" w:rsidRDefault="00881E45" w:rsidP="00881E45">
      <w:pPr>
        <w:rPr>
          <w:szCs w:val="24"/>
        </w:rPr>
      </w:pPr>
      <w:r>
        <w:rPr>
          <w:szCs w:val="24"/>
        </w:rPr>
        <w:t>In addition to the core text and annexes on systemic issues, the TISA would include each country’s “</w:t>
      </w:r>
      <w:r w:rsidR="002A4BF4">
        <w:rPr>
          <w:szCs w:val="24"/>
        </w:rPr>
        <w:t>s</w:t>
      </w:r>
      <w:r>
        <w:rPr>
          <w:szCs w:val="24"/>
        </w:rPr>
        <w:t xml:space="preserve">chedule of </w:t>
      </w:r>
      <w:r w:rsidR="002A4BF4">
        <w:rPr>
          <w:szCs w:val="24"/>
        </w:rPr>
        <w:t>c</w:t>
      </w:r>
      <w:r>
        <w:rPr>
          <w:szCs w:val="24"/>
        </w:rPr>
        <w:t xml:space="preserve">ommitments” in which they list which sectors they are willing to commit to TISA’s six specific </w:t>
      </w:r>
      <w:r w:rsidR="002A4BF4">
        <w:rPr>
          <w:szCs w:val="24"/>
        </w:rPr>
        <w:t>m</w:t>
      </w:r>
      <w:r>
        <w:rPr>
          <w:szCs w:val="24"/>
        </w:rPr>
        <w:t xml:space="preserve">arket </w:t>
      </w:r>
      <w:r w:rsidR="002A4BF4">
        <w:rPr>
          <w:szCs w:val="24"/>
        </w:rPr>
        <w:t>a</w:t>
      </w:r>
      <w:r>
        <w:rPr>
          <w:szCs w:val="24"/>
        </w:rPr>
        <w:t xml:space="preserve">ccess disciplines, and which sectors they want to exclude from the TISA’s </w:t>
      </w:r>
      <w:r w:rsidR="002A4BF4">
        <w:rPr>
          <w:szCs w:val="24"/>
        </w:rPr>
        <w:t>n</w:t>
      </w:r>
      <w:r>
        <w:rPr>
          <w:szCs w:val="24"/>
        </w:rPr>
        <w:t xml:space="preserve">ational </w:t>
      </w:r>
      <w:r w:rsidR="002A4BF4">
        <w:rPr>
          <w:szCs w:val="24"/>
        </w:rPr>
        <w:t>t</w:t>
      </w:r>
      <w:r>
        <w:rPr>
          <w:szCs w:val="24"/>
        </w:rPr>
        <w:t xml:space="preserve">reatment rules. These </w:t>
      </w:r>
      <w:r w:rsidR="002A4BF4">
        <w:rPr>
          <w:szCs w:val="24"/>
        </w:rPr>
        <w:t>s</w:t>
      </w:r>
      <w:r>
        <w:rPr>
          <w:szCs w:val="24"/>
        </w:rPr>
        <w:t>chedules are negotiated by countries making “offers” and their negotiating partners making “requests,” i</w:t>
      </w:r>
      <w:r w:rsidR="002A4BF4">
        <w:rPr>
          <w:szCs w:val="24"/>
        </w:rPr>
        <w:t>.</w:t>
      </w:r>
      <w:r>
        <w:rPr>
          <w:szCs w:val="24"/>
        </w:rPr>
        <w:t>e</w:t>
      </w:r>
      <w:r w:rsidR="002A4BF4">
        <w:rPr>
          <w:szCs w:val="24"/>
        </w:rPr>
        <w:t>.</w:t>
      </w:r>
      <w:r>
        <w:rPr>
          <w:szCs w:val="24"/>
        </w:rPr>
        <w:t xml:space="preserve">, demands for more sectors to be included and </w:t>
      </w:r>
      <w:r w:rsidR="002A4BF4">
        <w:rPr>
          <w:szCs w:val="24"/>
        </w:rPr>
        <w:t xml:space="preserve">for </w:t>
      </w:r>
      <w:r>
        <w:rPr>
          <w:szCs w:val="24"/>
        </w:rPr>
        <w:t>exclusions to be limited.</w:t>
      </w:r>
    </w:p>
    <w:p w14:paraId="67C534CC" w14:textId="77777777" w:rsidR="00C0498A" w:rsidRDefault="00C0498A" w:rsidP="00A01272">
      <w:pPr>
        <w:rPr>
          <w:szCs w:val="24"/>
        </w:rPr>
      </w:pPr>
    </w:p>
    <w:p w14:paraId="3B63DB27" w14:textId="3B717C96" w:rsidR="00F907DE" w:rsidRDefault="00EF7420" w:rsidP="00A01272">
      <w:pPr>
        <w:rPr>
          <w:szCs w:val="24"/>
        </w:rPr>
      </w:pPr>
      <w:r>
        <w:rPr>
          <w:szCs w:val="24"/>
        </w:rPr>
        <w:t>Combining the</w:t>
      </w:r>
      <w:r w:rsidR="00C0498A">
        <w:rPr>
          <w:szCs w:val="24"/>
        </w:rPr>
        <w:t xml:space="preserve"> demands of the EU with regard to public and private services including financial serv</w:t>
      </w:r>
      <w:r>
        <w:rPr>
          <w:szCs w:val="24"/>
        </w:rPr>
        <w:t>ic</w:t>
      </w:r>
      <w:r w:rsidR="00C0498A">
        <w:rPr>
          <w:szCs w:val="24"/>
        </w:rPr>
        <w:t xml:space="preserve">es, the deregulatory aspects of the </w:t>
      </w:r>
      <w:r w:rsidR="002A4BF4">
        <w:rPr>
          <w:szCs w:val="24"/>
        </w:rPr>
        <w:t>f</w:t>
      </w:r>
      <w:r w:rsidR="00C0498A">
        <w:rPr>
          <w:szCs w:val="24"/>
        </w:rPr>
        <w:t xml:space="preserve">inancial </w:t>
      </w:r>
      <w:r w:rsidR="002A4BF4">
        <w:rPr>
          <w:szCs w:val="24"/>
        </w:rPr>
        <w:t>s</w:t>
      </w:r>
      <w:r w:rsidR="00C0498A">
        <w:rPr>
          <w:szCs w:val="24"/>
        </w:rPr>
        <w:t xml:space="preserve">ervices </w:t>
      </w:r>
      <w:r w:rsidR="002A4BF4">
        <w:rPr>
          <w:szCs w:val="24"/>
        </w:rPr>
        <w:t>a</w:t>
      </w:r>
      <w:r w:rsidR="00C0498A">
        <w:rPr>
          <w:szCs w:val="24"/>
        </w:rPr>
        <w:t xml:space="preserve">nnex, </w:t>
      </w:r>
      <w:r>
        <w:rPr>
          <w:szCs w:val="24"/>
        </w:rPr>
        <w:t xml:space="preserve">and the </w:t>
      </w:r>
      <w:r w:rsidR="002A4BF4">
        <w:rPr>
          <w:szCs w:val="24"/>
        </w:rPr>
        <w:t>l</w:t>
      </w:r>
      <w:r>
        <w:rPr>
          <w:szCs w:val="24"/>
        </w:rPr>
        <w:t xml:space="preserve">ocalization </w:t>
      </w:r>
      <w:r w:rsidR="002A4BF4">
        <w:rPr>
          <w:szCs w:val="24"/>
        </w:rPr>
        <w:t>p</w:t>
      </w:r>
      <w:r>
        <w:rPr>
          <w:szCs w:val="24"/>
        </w:rPr>
        <w:t xml:space="preserve">rovisions, </w:t>
      </w:r>
      <w:r w:rsidR="00C0498A">
        <w:rPr>
          <w:szCs w:val="24"/>
        </w:rPr>
        <w:t xml:space="preserve">today’s leak exposes the fundamentally </w:t>
      </w:r>
      <w:r w:rsidR="007A2E9B">
        <w:rPr>
          <w:szCs w:val="24"/>
        </w:rPr>
        <w:t>antidevelopment</w:t>
      </w:r>
      <w:r w:rsidR="00F907DE">
        <w:rPr>
          <w:szCs w:val="24"/>
        </w:rPr>
        <w:t xml:space="preserve"> nature of the TISA. </w:t>
      </w:r>
    </w:p>
    <w:p w14:paraId="7514EA02" w14:textId="77777777" w:rsidR="00F907DE" w:rsidRDefault="00F907DE" w:rsidP="00A01272">
      <w:pPr>
        <w:rPr>
          <w:szCs w:val="24"/>
        </w:rPr>
      </w:pPr>
    </w:p>
    <w:p w14:paraId="138753B3" w14:textId="2DAE9588" w:rsidR="00C0498A" w:rsidRDefault="007C51A2" w:rsidP="00A01272">
      <w:pPr>
        <w:rPr>
          <w:szCs w:val="24"/>
        </w:rPr>
      </w:pPr>
      <w:r>
        <w:rPr>
          <w:szCs w:val="24"/>
        </w:rPr>
        <w:t>T</w:t>
      </w:r>
      <w:r w:rsidR="00C0498A">
        <w:rPr>
          <w:szCs w:val="24"/>
        </w:rPr>
        <w:t xml:space="preserve">he </w:t>
      </w:r>
      <w:hyperlink r:id="rId13" w:history="1">
        <w:r w:rsidR="00C0498A" w:rsidRPr="00EF7420">
          <w:rPr>
            <w:rStyle w:val="Hyperlink"/>
            <w:szCs w:val="24"/>
          </w:rPr>
          <w:t>United Nations has just warned of another impending financ</w:t>
        </w:r>
        <w:r>
          <w:rPr>
            <w:rStyle w:val="Hyperlink"/>
            <w:szCs w:val="24"/>
          </w:rPr>
          <w:t>i</w:t>
        </w:r>
        <w:r w:rsidR="00C0498A" w:rsidRPr="00EF7420">
          <w:rPr>
            <w:rStyle w:val="Hyperlink"/>
            <w:szCs w:val="24"/>
          </w:rPr>
          <w:t>al crisis</w:t>
        </w:r>
      </w:hyperlink>
      <w:r>
        <w:rPr>
          <w:szCs w:val="24"/>
        </w:rPr>
        <w:t>.</w:t>
      </w:r>
      <w:r w:rsidR="004142F4">
        <w:rPr>
          <w:szCs w:val="24"/>
        </w:rPr>
        <w:t xml:space="preserve"> </w:t>
      </w:r>
      <w:r>
        <w:rPr>
          <w:szCs w:val="24"/>
        </w:rPr>
        <w:t xml:space="preserve">Yet if they agree to the extensive demands of the EU for further liberalization of services in the TISA, </w:t>
      </w:r>
      <w:r w:rsidR="004142F4">
        <w:rPr>
          <w:szCs w:val="24"/>
        </w:rPr>
        <w:t xml:space="preserve">developing countries </w:t>
      </w:r>
      <w:r w:rsidR="001622A0">
        <w:rPr>
          <w:szCs w:val="24"/>
        </w:rPr>
        <w:t xml:space="preserve">would be exposing themselves to greatly expanded </w:t>
      </w:r>
      <w:r w:rsidR="00EF7420">
        <w:rPr>
          <w:szCs w:val="24"/>
        </w:rPr>
        <w:t xml:space="preserve">financial </w:t>
      </w:r>
      <w:r w:rsidR="001622A0">
        <w:rPr>
          <w:szCs w:val="24"/>
        </w:rPr>
        <w:t>spillover effects</w:t>
      </w:r>
      <w:r>
        <w:rPr>
          <w:szCs w:val="24"/>
        </w:rPr>
        <w:t>,</w:t>
      </w:r>
      <w:r w:rsidR="001622A0">
        <w:rPr>
          <w:szCs w:val="24"/>
        </w:rPr>
        <w:t xml:space="preserve"> coupled with handcuffs on their ability to respond to a potential crisis by increa</w:t>
      </w:r>
      <w:r w:rsidR="00EF7420">
        <w:rPr>
          <w:szCs w:val="24"/>
        </w:rPr>
        <w:t>sing access to public services</w:t>
      </w:r>
      <w:r>
        <w:rPr>
          <w:szCs w:val="24"/>
        </w:rPr>
        <w:t>.</w:t>
      </w:r>
      <w:r w:rsidR="00F907DE">
        <w:rPr>
          <w:szCs w:val="24"/>
        </w:rPr>
        <w:t>.</w:t>
      </w:r>
    </w:p>
    <w:p w14:paraId="5490D225" w14:textId="77777777" w:rsidR="009E7885" w:rsidRPr="00726EB2" w:rsidRDefault="009E7885" w:rsidP="00A01272">
      <w:pPr>
        <w:rPr>
          <w:sz w:val="20"/>
        </w:rPr>
      </w:pPr>
    </w:p>
    <w:p w14:paraId="163611C7" w14:textId="031353F2" w:rsidR="00602B57" w:rsidRPr="00844E99" w:rsidRDefault="00602B57" w:rsidP="00A01272">
      <w:pPr>
        <w:rPr>
          <w:b/>
          <w:szCs w:val="24"/>
        </w:rPr>
      </w:pPr>
      <w:r w:rsidRPr="00844E99">
        <w:rPr>
          <w:b/>
          <w:szCs w:val="24"/>
        </w:rPr>
        <w:t>Background</w:t>
      </w:r>
      <w:r w:rsidR="00844E99" w:rsidRPr="00844E99">
        <w:rPr>
          <w:b/>
          <w:szCs w:val="24"/>
        </w:rPr>
        <w:t xml:space="preserve"> Information</w:t>
      </w:r>
    </w:p>
    <w:p w14:paraId="3354B88A" w14:textId="77777777" w:rsidR="00602B57" w:rsidRPr="00726EB2" w:rsidRDefault="00602B57" w:rsidP="00A01272">
      <w:pPr>
        <w:rPr>
          <w:sz w:val="20"/>
        </w:rPr>
      </w:pPr>
    </w:p>
    <w:p w14:paraId="1CBE6EDB" w14:textId="1DAB3DD4" w:rsidR="007C51A2" w:rsidRDefault="000E1C67" w:rsidP="00A01272">
      <w:r w:rsidRPr="004C7240">
        <w:rPr>
          <w:szCs w:val="24"/>
        </w:rPr>
        <w:t xml:space="preserve">This leak </w:t>
      </w:r>
      <w:r w:rsidR="00970B17">
        <w:rPr>
          <w:szCs w:val="24"/>
        </w:rPr>
        <w:t>justifies</w:t>
      </w:r>
      <w:r w:rsidR="00970B17" w:rsidRPr="004C7240">
        <w:rPr>
          <w:szCs w:val="24"/>
        </w:rPr>
        <w:t xml:space="preserve"> </w:t>
      </w:r>
      <w:r w:rsidR="00865543">
        <w:rPr>
          <w:szCs w:val="24"/>
        </w:rPr>
        <w:t>warning</w:t>
      </w:r>
      <w:r w:rsidR="00C8722E">
        <w:rPr>
          <w:szCs w:val="24"/>
        </w:rPr>
        <w:t>s</w:t>
      </w:r>
      <w:r w:rsidR="00865543">
        <w:rPr>
          <w:szCs w:val="24"/>
        </w:rPr>
        <w:t xml:space="preserve"> from global civil society </w:t>
      </w:r>
      <w:r w:rsidRPr="004C7240">
        <w:rPr>
          <w:szCs w:val="24"/>
        </w:rPr>
        <w:t xml:space="preserve">about the privatization and deregulation impacts of a potential TISA since </w:t>
      </w:r>
      <w:r w:rsidR="00F907DE">
        <w:rPr>
          <w:szCs w:val="24"/>
        </w:rPr>
        <w:t>the</w:t>
      </w:r>
      <w:r w:rsidRPr="004C7240">
        <w:rPr>
          <w:szCs w:val="24"/>
        </w:rPr>
        <w:t xml:space="preserve"> </w:t>
      </w:r>
      <w:hyperlink r:id="rId14" w:history="1">
        <w:r w:rsidRPr="004C7240">
          <w:rPr>
            <w:rStyle w:val="Hyperlink"/>
            <w:szCs w:val="24"/>
          </w:rPr>
          <w:t>first letter on the issue</w:t>
        </w:r>
      </w:hyperlink>
      <w:r w:rsidRPr="004C7240">
        <w:rPr>
          <w:szCs w:val="24"/>
        </w:rPr>
        <w:t xml:space="preserve">, endorsed by 345 organizations from across the globe, in September 2013. </w:t>
      </w:r>
      <w:r>
        <w:rPr>
          <w:szCs w:val="24"/>
        </w:rPr>
        <w:t xml:space="preserve">At that time, </w:t>
      </w:r>
      <w:r w:rsidR="007C51A2">
        <w:rPr>
          <w:szCs w:val="24"/>
        </w:rPr>
        <w:t>the Our World is Not For Sale network (</w:t>
      </w:r>
      <w:r>
        <w:rPr>
          <w:szCs w:val="24"/>
        </w:rPr>
        <w:t>OWINFS</w:t>
      </w:r>
      <w:r w:rsidR="007C51A2">
        <w:rPr>
          <w:szCs w:val="24"/>
        </w:rPr>
        <w:t>)</w:t>
      </w:r>
      <w:r>
        <w:rPr>
          <w:szCs w:val="24"/>
        </w:rPr>
        <w:t xml:space="preserve"> argued</w:t>
      </w:r>
      <w:r w:rsidR="007C51A2">
        <w:rPr>
          <w:szCs w:val="24"/>
        </w:rPr>
        <w:t>:</w:t>
      </w:r>
      <w:r>
        <w:rPr>
          <w:szCs w:val="24"/>
        </w:rPr>
        <w:t xml:space="preserve"> </w:t>
      </w:r>
    </w:p>
    <w:p w14:paraId="7B3A49F5" w14:textId="77777777" w:rsidR="007C51A2" w:rsidRDefault="007C51A2" w:rsidP="00A01272"/>
    <w:p w14:paraId="06344161" w14:textId="6FFC605C" w:rsidR="007C51A2" w:rsidRDefault="007C51A2" w:rsidP="00ED4C25">
      <w:pPr>
        <w:ind w:left="720"/>
      </w:pPr>
      <w:r>
        <w:t>T</w:t>
      </w:r>
      <w:r w:rsidR="000E1C67" w:rsidRPr="00A929D9">
        <w:t xml:space="preserve">he TISA negotiations largely follow the corporate agenda of using </w:t>
      </w:r>
      <w:r>
        <w:t>‘</w:t>
      </w:r>
      <w:r w:rsidR="000E1C67" w:rsidRPr="00A929D9">
        <w:t>trade</w:t>
      </w:r>
      <w:r>
        <w:t>’</w:t>
      </w:r>
      <w:r w:rsidR="000E1C67" w:rsidRPr="00A929D9">
        <w:t xml:space="preserve"> agreements to bind countries to an agenda of extreme liberalization and deregulation in order to ensure greater corporate profits at the expense of workers, farmers, consumers and the environment. The proposed agreement is the direct result of systematic advocacy by transnational corporations in banking, energy, insurance, telecommunications, transportation, water, and other services sectors, working through lobby groups like the US Coalition of Service Industries (USCSI) and the European Services Forum (ESF). </w:t>
      </w:r>
    </w:p>
    <w:p w14:paraId="72D07DF1" w14:textId="77777777" w:rsidR="007C51A2" w:rsidRDefault="007C51A2" w:rsidP="00A01272"/>
    <w:p w14:paraId="39871711" w14:textId="1DBCE601" w:rsidR="000E1C67" w:rsidRPr="00A929D9" w:rsidRDefault="000E1C67" w:rsidP="00A01272">
      <w:r w:rsidRPr="00A929D9">
        <w:t xml:space="preserve">Today’s leaks prove the network’s arguments beyond a shadow of a doubt. </w:t>
      </w:r>
    </w:p>
    <w:p w14:paraId="0E8CC630" w14:textId="77777777" w:rsidR="000E1C67" w:rsidRPr="00726EB2" w:rsidRDefault="000E1C67" w:rsidP="00A01272">
      <w:pPr>
        <w:rPr>
          <w:sz w:val="20"/>
        </w:rPr>
      </w:pPr>
    </w:p>
    <w:p w14:paraId="459E59DC" w14:textId="50945597" w:rsidR="00007D2A" w:rsidRPr="004C7240" w:rsidRDefault="00532832" w:rsidP="00A01272">
      <w:pPr>
        <w:rPr>
          <w:szCs w:val="24"/>
        </w:rPr>
      </w:pPr>
      <w:r>
        <w:rPr>
          <w:szCs w:val="24"/>
        </w:rPr>
        <w:t>Today’s leak</w:t>
      </w:r>
      <w:r w:rsidR="00B553FC" w:rsidRPr="004C7240">
        <w:rPr>
          <w:szCs w:val="24"/>
        </w:rPr>
        <w:t xml:space="preserve"> follows other</w:t>
      </w:r>
      <w:r>
        <w:rPr>
          <w:szCs w:val="24"/>
        </w:rPr>
        <w:t>s</w:t>
      </w:r>
      <w:r w:rsidR="00B553FC" w:rsidRPr="004C7240">
        <w:rPr>
          <w:szCs w:val="24"/>
        </w:rPr>
        <w:t xml:space="preserve">, including a June 2014 </w:t>
      </w:r>
      <w:r w:rsidR="007A2E9B">
        <w:rPr>
          <w:szCs w:val="24"/>
        </w:rPr>
        <w:t>WikiLeaks</w:t>
      </w:r>
      <w:r w:rsidR="00B553FC" w:rsidRPr="004C7240">
        <w:rPr>
          <w:szCs w:val="24"/>
        </w:rPr>
        <w:t xml:space="preserve"> revelation of a previous version of the </w:t>
      </w:r>
      <w:hyperlink r:id="rId15" w:history="1">
        <w:r w:rsidR="007C51A2">
          <w:rPr>
            <w:rStyle w:val="Hyperlink"/>
            <w:szCs w:val="24"/>
          </w:rPr>
          <w:t>f</w:t>
        </w:r>
        <w:r w:rsidR="00B553FC" w:rsidRPr="004C7240">
          <w:rPr>
            <w:rStyle w:val="Hyperlink"/>
            <w:szCs w:val="24"/>
          </w:rPr>
          <w:t xml:space="preserve">inancial </w:t>
        </w:r>
        <w:r w:rsidR="007C51A2">
          <w:rPr>
            <w:rStyle w:val="Hyperlink"/>
            <w:szCs w:val="24"/>
          </w:rPr>
          <w:t>s</w:t>
        </w:r>
        <w:r w:rsidR="00B553FC" w:rsidRPr="004C7240">
          <w:rPr>
            <w:rStyle w:val="Hyperlink"/>
            <w:szCs w:val="24"/>
          </w:rPr>
          <w:t>ervices secret text</w:t>
        </w:r>
      </w:hyperlink>
      <w:r w:rsidR="00875C32">
        <w:rPr>
          <w:szCs w:val="24"/>
        </w:rPr>
        <w:t xml:space="preserve">; </w:t>
      </w:r>
      <w:r w:rsidR="0028245A" w:rsidRPr="004C7240">
        <w:rPr>
          <w:szCs w:val="24"/>
        </w:rPr>
        <w:t xml:space="preserve">the December 2014 leak of a US proposal on </w:t>
      </w:r>
      <w:hyperlink r:id="rId16" w:history="1">
        <w:r w:rsidR="0028245A" w:rsidRPr="004C7240">
          <w:rPr>
            <w:rStyle w:val="Hyperlink"/>
            <w:szCs w:val="24"/>
          </w:rPr>
          <w:t>cross-border data flows, technology transfer, and net neutrality</w:t>
        </w:r>
      </w:hyperlink>
      <w:r w:rsidR="00677A10">
        <w:rPr>
          <w:szCs w:val="24"/>
        </w:rPr>
        <w:t xml:space="preserve"> (available in English and Spanish),</w:t>
      </w:r>
      <w:r w:rsidR="006E01CB">
        <w:rPr>
          <w:szCs w:val="24"/>
        </w:rPr>
        <w:t xml:space="preserve"> which </w:t>
      </w:r>
      <w:r w:rsidR="00A936B4">
        <w:rPr>
          <w:szCs w:val="24"/>
        </w:rPr>
        <w:t xml:space="preserve">raised serious concerns </w:t>
      </w:r>
      <w:r w:rsidR="006E01CB">
        <w:rPr>
          <w:szCs w:val="24"/>
        </w:rPr>
        <w:t>about the protection of data privacy in the wake of the Snowden revelations</w:t>
      </w:r>
      <w:r w:rsidR="00875C32">
        <w:rPr>
          <w:szCs w:val="24"/>
        </w:rPr>
        <w:t xml:space="preserve">; the February 5, 2015 release of a background paper promoting </w:t>
      </w:r>
      <w:hyperlink r:id="rId17" w:history="1">
        <w:r w:rsidR="00875C32" w:rsidRPr="00875C32">
          <w:rPr>
            <w:rStyle w:val="Hyperlink"/>
            <w:szCs w:val="24"/>
          </w:rPr>
          <w:t>health tourism in the TISA</w:t>
        </w:r>
      </w:hyperlink>
      <w:r w:rsidR="00677A10">
        <w:rPr>
          <w:szCs w:val="24"/>
        </w:rPr>
        <w:t xml:space="preserve"> (available in English, French, German, and Spanish)</w:t>
      </w:r>
      <w:r w:rsidR="00875C32">
        <w:rPr>
          <w:szCs w:val="24"/>
        </w:rPr>
        <w:t xml:space="preserve">; </w:t>
      </w:r>
      <w:r w:rsidR="009B45E2">
        <w:rPr>
          <w:szCs w:val="24"/>
        </w:rPr>
        <w:t>the June 2015</w:t>
      </w:r>
      <w:r w:rsidR="00875C32">
        <w:rPr>
          <w:szCs w:val="24"/>
        </w:rPr>
        <w:t xml:space="preserve"> </w:t>
      </w:r>
      <w:r w:rsidR="007A2E9B">
        <w:rPr>
          <w:szCs w:val="24"/>
        </w:rPr>
        <w:t>WikiLeaks</w:t>
      </w:r>
      <w:r w:rsidR="00875C32">
        <w:rPr>
          <w:szCs w:val="24"/>
        </w:rPr>
        <w:t xml:space="preserve"> publication of </w:t>
      </w:r>
      <w:hyperlink r:id="rId18" w:history="1">
        <w:r w:rsidR="00875C32" w:rsidRPr="00875C32">
          <w:rPr>
            <w:rStyle w:val="Hyperlink"/>
            <w:szCs w:val="24"/>
          </w:rPr>
          <w:t>17 documents on the TISA</w:t>
        </w:r>
      </w:hyperlink>
      <w:r w:rsidR="009B45E2">
        <w:rPr>
          <w:rStyle w:val="Hyperlink"/>
          <w:szCs w:val="24"/>
        </w:rPr>
        <w:t>, along with accompanying analysis</w:t>
      </w:r>
      <w:r w:rsidR="009B45E2">
        <w:rPr>
          <w:szCs w:val="24"/>
        </w:rPr>
        <w:t xml:space="preserve">; the July 2015 publication of an updated batch of texts, including the </w:t>
      </w:r>
      <w:hyperlink r:id="rId19" w:history="1">
        <w:r w:rsidR="009B45E2" w:rsidRPr="009B45E2">
          <w:rPr>
            <w:rStyle w:val="Hyperlink"/>
            <w:szCs w:val="24"/>
          </w:rPr>
          <w:t>core text</w:t>
        </w:r>
      </w:hyperlink>
      <w:r w:rsidR="009B45E2">
        <w:rPr>
          <w:szCs w:val="24"/>
        </w:rPr>
        <w:t xml:space="preserve"> and </w:t>
      </w:r>
      <w:hyperlink r:id="rId20" w:anchor="a" w:history="1">
        <w:r w:rsidR="009B45E2" w:rsidRPr="009B45E2">
          <w:rPr>
            <w:rStyle w:val="Hyperlink"/>
            <w:szCs w:val="24"/>
          </w:rPr>
          <w:t>accompanying analysis</w:t>
        </w:r>
      </w:hyperlink>
      <w:r w:rsidR="009B45E2">
        <w:rPr>
          <w:szCs w:val="24"/>
        </w:rPr>
        <w:t>; the December 2015 leak of annexes on energy and environmental services</w:t>
      </w:r>
      <w:r w:rsidR="001622A0">
        <w:rPr>
          <w:szCs w:val="24"/>
        </w:rPr>
        <w:t xml:space="preserve">; the May 2016 leak of new chapters on </w:t>
      </w:r>
      <w:hyperlink r:id="rId21" w:anchor="May%202016%20TiSA%20Publication" w:history="1">
        <w:r w:rsidR="007C51A2">
          <w:rPr>
            <w:rStyle w:val="Hyperlink"/>
            <w:szCs w:val="24"/>
          </w:rPr>
          <w:t>s</w:t>
        </w:r>
        <w:r w:rsidR="001622A0" w:rsidRPr="001622A0">
          <w:rPr>
            <w:rStyle w:val="Hyperlink"/>
            <w:szCs w:val="24"/>
          </w:rPr>
          <w:t>tate</w:t>
        </w:r>
        <w:r w:rsidR="007C51A2">
          <w:rPr>
            <w:rStyle w:val="Hyperlink"/>
            <w:szCs w:val="24"/>
          </w:rPr>
          <w:t>-o</w:t>
        </w:r>
        <w:r w:rsidR="001622A0" w:rsidRPr="001622A0">
          <w:rPr>
            <w:rStyle w:val="Hyperlink"/>
            <w:szCs w:val="24"/>
          </w:rPr>
          <w:t xml:space="preserve">wned </w:t>
        </w:r>
        <w:r w:rsidR="007C51A2">
          <w:rPr>
            <w:rStyle w:val="Hyperlink"/>
            <w:szCs w:val="24"/>
          </w:rPr>
          <w:t>e</w:t>
        </w:r>
        <w:r w:rsidR="001622A0" w:rsidRPr="001622A0">
          <w:rPr>
            <w:rStyle w:val="Hyperlink"/>
            <w:szCs w:val="24"/>
          </w:rPr>
          <w:t xml:space="preserve">nterprises and the </w:t>
        </w:r>
        <w:r w:rsidR="007C51A2">
          <w:rPr>
            <w:rStyle w:val="Hyperlink"/>
            <w:szCs w:val="24"/>
          </w:rPr>
          <w:t>l</w:t>
        </w:r>
        <w:r w:rsidR="001622A0" w:rsidRPr="001622A0">
          <w:rPr>
            <w:rStyle w:val="Hyperlink"/>
            <w:szCs w:val="24"/>
          </w:rPr>
          <w:t xml:space="preserve">ocalization </w:t>
        </w:r>
        <w:r w:rsidR="007C51A2">
          <w:rPr>
            <w:rStyle w:val="Hyperlink"/>
            <w:szCs w:val="24"/>
          </w:rPr>
          <w:t>p</w:t>
        </w:r>
        <w:r w:rsidR="001622A0" w:rsidRPr="001622A0">
          <w:rPr>
            <w:rStyle w:val="Hyperlink"/>
            <w:szCs w:val="24"/>
          </w:rPr>
          <w:t>rovisions</w:t>
        </w:r>
      </w:hyperlink>
      <w:r w:rsidR="001622A0">
        <w:rPr>
          <w:szCs w:val="24"/>
        </w:rPr>
        <w:t xml:space="preserve">, among others; the September 2016 publication of the proposed </w:t>
      </w:r>
      <w:hyperlink r:id="rId22" w:history="1">
        <w:r w:rsidR="007C51A2">
          <w:rPr>
            <w:rStyle w:val="Hyperlink"/>
            <w:szCs w:val="24"/>
          </w:rPr>
          <w:t>e</w:t>
        </w:r>
        <w:r w:rsidR="001622A0" w:rsidRPr="001622A0">
          <w:rPr>
            <w:rStyle w:val="Hyperlink"/>
            <w:szCs w:val="24"/>
          </w:rPr>
          <w:t xml:space="preserve">nergy </w:t>
        </w:r>
        <w:r w:rsidR="007C51A2">
          <w:rPr>
            <w:rStyle w:val="Hyperlink"/>
            <w:szCs w:val="24"/>
          </w:rPr>
          <w:t>s</w:t>
        </w:r>
        <w:r w:rsidR="001622A0" w:rsidRPr="001622A0">
          <w:rPr>
            <w:rStyle w:val="Hyperlink"/>
            <w:szCs w:val="24"/>
          </w:rPr>
          <w:t xml:space="preserve">ervices </w:t>
        </w:r>
        <w:r w:rsidR="007C51A2">
          <w:rPr>
            <w:rStyle w:val="Hyperlink"/>
            <w:szCs w:val="24"/>
          </w:rPr>
          <w:t>a</w:t>
        </w:r>
        <w:r w:rsidR="001622A0" w:rsidRPr="001622A0">
          <w:rPr>
            <w:rStyle w:val="Hyperlink"/>
            <w:szCs w:val="24"/>
          </w:rPr>
          <w:t>nnex</w:t>
        </w:r>
      </w:hyperlink>
      <w:r w:rsidR="001622A0">
        <w:rPr>
          <w:szCs w:val="24"/>
        </w:rPr>
        <w:t xml:space="preserve"> and other documents by Greenpeace; </w:t>
      </w:r>
      <w:r w:rsidR="007C51A2">
        <w:rPr>
          <w:szCs w:val="24"/>
        </w:rPr>
        <w:t>and the</w:t>
      </w:r>
      <w:r w:rsidR="001622A0">
        <w:rPr>
          <w:szCs w:val="24"/>
        </w:rPr>
        <w:t xml:space="preserve"> September 2016 publication of updated versions of the </w:t>
      </w:r>
      <w:r w:rsidR="007C51A2">
        <w:rPr>
          <w:szCs w:val="24"/>
        </w:rPr>
        <w:t>c</w:t>
      </w:r>
      <w:r w:rsidR="001622A0">
        <w:rPr>
          <w:szCs w:val="24"/>
        </w:rPr>
        <w:t xml:space="preserve">ore </w:t>
      </w:r>
      <w:r w:rsidR="007C51A2">
        <w:rPr>
          <w:szCs w:val="24"/>
        </w:rPr>
        <w:t>t</w:t>
      </w:r>
      <w:r w:rsidR="001622A0">
        <w:rPr>
          <w:szCs w:val="24"/>
        </w:rPr>
        <w:t xml:space="preserve">ext and new proposals on </w:t>
      </w:r>
      <w:hyperlink r:id="rId23" w:anchor="September%2015,%202016%20Publication" w:history="1">
        <w:r w:rsidR="007C51A2">
          <w:rPr>
            <w:rStyle w:val="Hyperlink"/>
            <w:szCs w:val="24"/>
          </w:rPr>
          <w:t>i</w:t>
        </w:r>
        <w:r w:rsidR="001622A0" w:rsidRPr="001622A0">
          <w:rPr>
            <w:rStyle w:val="Hyperlink"/>
            <w:szCs w:val="24"/>
          </w:rPr>
          <w:t xml:space="preserve">nstitutional </w:t>
        </w:r>
        <w:r w:rsidR="007C51A2">
          <w:rPr>
            <w:rStyle w:val="Hyperlink"/>
            <w:szCs w:val="24"/>
          </w:rPr>
          <w:t>p</w:t>
        </w:r>
        <w:r w:rsidR="001622A0" w:rsidRPr="001622A0">
          <w:rPr>
            <w:rStyle w:val="Hyperlink"/>
            <w:szCs w:val="24"/>
          </w:rPr>
          <w:t xml:space="preserve">rovisions and </w:t>
        </w:r>
        <w:r w:rsidR="007C51A2">
          <w:rPr>
            <w:rStyle w:val="Hyperlink"/>
            <w:szCs w:val="24"/>
          </w:rPr>
          <w:t>d</w:t>
        </w:r>
        <w:r w:rsidR="001622A0" w:rsidRPr="001622A0">
          <w:rPr>
            <w:rStyle w:val="Hyperlink"/>
            <w:szCs w:val="24"/>
          </w:rPr>
          <w:t xml:space="preserve">ispute </w:t>
        </w:r>
        <w:r w:rsidR="007C51A2">
          <w:rPr>
            <w:rStyle w:val="Hyperlink"/>
            <w:szCs w:val="24"/>
          </w:rPr>
          <w:t>s</w:t>
        </w:r>
        <w:r w:rsidR="001622A0" w:rsidRPr="001622A0">
          <w:rPr>
            <w:rStyle w:val="Hyperlink"/>
            <w:szCs w:val="24"/>
          </w:rPr>
          <w:t>ettlement</w:t>
        </w:r>
      </w:hyperlink>
      <w:r w:rsidR="009B45E2">
        <w:rPr>
          <w:szCs w:val="24"/>
        </w:rPr>
        <w:t xml:space="preserve">. </w:t>
      </w:r>
    </w:p>
    <w:p w14:paraId="1E98296E" w14:textId="77777777" w:rsidR="00237D5D" w:rsidRPr="00726EB2" w:rsidRDefault="00237D5D" w:rsidP="00A01272">
      <w:pPr>
        <w:rPr>
          <w:sz w:val="20"/>
        </w:rPr>
      </w:pPr>
    </w:p>
    <w:p w14:paraId="086BD878" w14:textId="0998689B" w:rsidR="00995245" w:rsidRPr="004C7240" w:rsidRDefault="006E01CB" w:rsidP="00A01272">
      <w:pPr>
        <w:rPr>
          <w:szCs w:val="24"/>
        </w:rPr>
      </w:pPr>
      <w:r>
        <w:rPr>
          <w:szCs w:val="24"/>
        </w:rPr>
        <w:t xml:space="preserve">The TISA is currently being negotiated </w:t>
      </w:r>
      <w:r w:rsidR="009B45E2">
        <w:rPr>
          <w:szCs w:val="24"/>
        </w:rPr>
        <w:t xml:space="preserve">among </w:t>
      </w:r>
      <w:r w:rsidR="001622A0">
        <w:rPr>
          <w:szCs w:val="24"/>
        </w:rPr>
        <w:t xml:space="preserve">50 countries (or </w:t>
      </w:r>
      <w:r w:rsidR="009B45E2">
        <w:rPr>
          <w:szCs w:val="24"/>
        </w:rPr>
        <w:t>23</w:t>
      </w:r>
      <w:r w:rsidR="001622A0">
        <w:rPr>
          <w:szCs w:val="24"/>
        </w:rPr>
        <w:t xml:space="preserve"> parties, </w:t>
      </w:r>
      <w:r w:rsidR="00993346">
        <w:rPr>
          <w:szCs w:val="24"/>
        </w:rPr>
        <w:t>counting the EU</w:t>
      </w:r>
      <w:r w:rsidR="00035F07">
        <w:rPr>
          <w:szCs w:val="24"/>
        </w:rPr>
        <w:t xml:space="preserve"> as one) with the aim of exten</w:t>
      </w:r>
      <w:r w:rsidR="00993346">
        <w:rPr>
          <w:szCs w:val="24"/>
        </w:rPr>
        <w:t xml:space="preserve">ding the coverage of scope of the existing General Agreement on Trade in Services in the </w:t>
      </w:r>
      <w:r w:rsidR="00DC4992">
        <w:rPr>
          <w:szCs w:val="24"/>
        </w:rPr>
        <w:t xml:space="preserve">WTO. </w:t>
      </w:r>
      <w:r w:rsidR="00F275CD">
        <w:rPr>
          <w:szCs w:val="24"/>
        </w:rPr>
        <w:t xml:space="preserve">However, even worse than the opaque talks at the WTO, the TISA negotiations are being conducted in complete secrecy. </w:t>
      </w:r>
      <w:r w:rsidR="007C51A2">
        <w:rPr>
          <w:szCs w:val="24"/>
        </w:rPr>
        <w:t xml:space="preserve">The </w:t>
      </w:r>
      <w:r w:rsidR="00F275CD">
        <w:rPr>
          <w:szCs w:val="24"/>
        </w:rPr>
        <w:t xml:space="preserve">Public Services International (PSI) global union federation published the first critique, </w:t>
      </w:r>
      <w:r w:rsidR="007C51A2">
        <w:rPr>
          <w:szCs w:val="24"/>
        </w:rPr>
        <w:t>“</w:t>
      </w:r>
      <w:hyperlink r:id="rId24" w:history="1">
        <w:r w:rsidR="00F275CD" w:rsidRPr="00F275CD">
          <w:rPr>
            <w:rStyle w:val="Hyperlink"/>
            <w:szCs w:val="24"/>
          </w:rPr>
          <w:t>TISA vs Public Services</w:t>
        </w:r>
      </w:hyperlink>
      <w:r w:rsidR="007C51A2">
        <w:rPr>
          <w:rStyle w:val="Hyperlink"/>
          <w:szCs w:val="24"/>
        </w:rPr>
        <w:t>,”</w:t>
      </w:r>
      <w:r w:rsidR="009B45E2">
        <w:rPr>
          <w:szCs w:val="24"/>
        </w:rPr>
        <w:t xml:space="preserve"> </w:t>
      </w:r>
      <w:r w:rsidR="00F275CD">
        <w:rPr>
          <w:szCs w:val="24"/>
        </w:rPr>
        <w:t xml:space="preserve">in March 2014, and PSI and OWINFS jointly published </w:t>
      </w:r>
      <w:bookmarkStart w:id="0" w:name="_GoBack"/>
      <w:r w:rsidR="007C51A2">
        <w:rPr>
          <w:szCs w:val="24"/>
        </w:rPr>
        <w:t>“</w:t>
      </w:r>
      <w:hyperlink r:id="rId25" w:history="1">
        <w:r w:rsidR="00F275CD" w:rsidRPr="00F275CD">
          <w:rPr>
            <w:rStyle w:val="Hyperlink"/>
            <w:szCs w:val="24"/>
          </w:rPr>
          <w:t>The Really Good Friends of Transnational Corporations Agreement</w:t>
        </w:r>
      </w:hyperlink>
      <w:r w:rsidR="007C51A2">
        <w:rPr>
          <w:rStyle w:val="Hyperlink"/>
          <w:szCs w:val="24"/>
        </w:rPr>
        <w:t>”</w:t>
      </w:r>
      <w:r w:rsidR="00F275CD">
        <w:rPr>
          <w:szCs w:val="24"/>
        </w:rPr>
        <w:t xml:space="preserve"> report on </w:t>
      </w:r>
      <w:r w:rsidR="007C51A2">
        <w:rPr>
          <w:szCs w:val="24"/>
        </w:rPr>
        <w:t>d</w:t>
      </w:r>
      <w:r w:rsidR="00F275CD">
        <w:rPr>
          <w:szCs w:val="24"/>
        </w:rPr>
        <w:t xml:space="preserve">omestic </w:t>
      </w:r>
      <w:r w:rsidR="007C51A2">
        <w:rPr>
          <w:szCs w:val="24"/>
        </w:rPr>
        <w:t>r</w:t>
      </w:r>
      <w:r w:rsidR="00F275CD">
        <w:rPr>
          <w:szCs w:val="24"/>
        </w:rPr>
        <w:t xml:space="preserve">egulation in </w:t>
      </w:r>
      <w:bookmarkEnd w:id="0"/>
      <w:r w:rsidR="00F275CD">
        <w:rPr>
          <w:szCs w:val="24"/>
        </w:rPr>
        <w:t xml:space="preserve">September 2014. </w:t>
      </w:r>
      <w:r w:rsidR="00B553FC" w:rsidRPr="004C7240">
        <w:rPr>
          <w:szCs w:val="24"/>
        </w:rPr>
        <w:t xml:space="preserve">A factsheet on the TISA can be found </w:t>
      </w:r>
      <w:hyperlink r:id="rId26" w:history="1">
        <w:r w:rsidR="002727E4" w:rsidRPr="002727E4">
          <w:rPr>
            <w:rStyle w:val="Hyperlink"/>
            <w:szCs w:val="24"/>
          </w:rPr>
          <w:t>here</w:t>
        </w:r>
      </w:hyperlink>
      <w:r w:rsidR="002727E4">
        <w:rPr>
          <w:szCs w:val="24"/>
        </w:rPr>
        <w:t xml:space="preserve"> </w:t>
      </w:r>
      <w:r w:rsidR="00B553FC" w:rsidRPr="004C7240">
        <w:rPr>
          <w:szCs w:val="24"/>
        </w:rPr>
        <w:t>and m</w:t>
      </w:r>
      <w:r w:rsidR="00237D5D" w:rsidRPr="004C7240">
        <w:rPr>
          <w:szCs w:val="24"/>
        </w:rPr>
        <w:t xml:space="preserve">ore information </w:t>
      </w:r>
      <w:r w:rsidR="002727E4" w:rsidRPr="004C7240">
        <w:rPr>
          <w:szCs w:val="24"/>
        </w:rPr>
        <w:t xml:space="preserve">on the TISA </w:t>
      </w:r>
      <w:r w:rsidR="00237D5D" w:rsidRPr="004C7240">
        <w:rPr>
          <w:szCs w:val="24"/>
        </w:rPr>
        <w:t xml:space="preserve">can be found </w:t>
      </w:r>
      <w:hyperlink r:id="rId27" w:history="1">
        <w:r w:rsidR="007C51A2" w:rsidRPr="007C51A2">
          <w:rPr>
            <w:rStyle w:val="Hyperlink"/>
            <w:szCs w:val="24"/>
          </w:rPr>
          <w:t>here</w:t>
        </w:r>
      </w:hyperlink>
      <w:r w:rsidR="00237D5D" w:rsidRPr="004C7240">
        <w:rPr>
          <w:szCs w:val="24"/>
        </w:rPr>
        <w:t xml:space="preserve">. </w:t>
      </w:r>
    </w:p>
    <w:p w14:paraId="542B67EA" w14:textId="77777777" w:rsidR="00E50AC4" w:rsidRPr="004E5025" w:rsidRDefault="00E50AC4" w:rsidP="00A01272">
      <w:pPr>
        <w:pBdr>
          <w:bottom w:val="single" w:sz="12" w:space="1" w:color="auto"/>
        </w:pBdr>
        <w:rPr>
          <w:sz w:val="12"/>
          <w:szCs w:val="12"/>
        </w:rPr>
      </w:pPr>
    </w:p>
    <w:p w14:paraId="296639F8" w14:textId="77777777" w:rsidR="00F907DE" w:rsidRDefault="00F907DE" w:rsidP="00A01272">
      <w:pPr>
        <w:jc w:val="center"/>
        <w:rPr>
          <w:sz w:val="23"/>
          <w:szCs w:val="23"/>
        </w:rPr>
      </w:pPr>
    </w:p>
    <w:p w14:paraId="7CAE0359" w14:textId="77777777" w:rsidR="00726EB2" w:rsidRPr="00726EB2" w:rsidRDefault="00726EB2" w:rsidP="00A01272">
      <w:pPr>
        <w:jc w:val="center"/>
        <w:rPr>
          <w:sz w:val="4"/>
          <w:szCs w:val="4"/>
        </w:rPr>
      </w:pPr>
    </w:p>
    <w:p w14:paraId="4432BAA0" w14:textId="35B331F4" w:rsidR="00463A82" w:rsidRPr="004E5025" w:rsidRDefault="00F907DE" w:rsidP="00A01272">
      <w:pPr>
        <w:jc w:val="center"/>
        <w:rPr>
          <w:sz w:val="23"/>
          <w:szCs w:val="23"/>
        </w:rPr>
      </w:pPr>
      <w:r>
        <w:rPr>
          <w:sz w:val="23"/>
          <w:szCs w:val="23"/>
        </w:rPr>
        <w:t xml:space="preserve">Deborah James is the Director of International Programs of the Center for Economy and Policy Research in Washington, DC, </w:t>
      </w:r>
      <w:hyperlink r:id="rId28" w:history="1">
        <w:r w:rsidRPr="00C146DD">
          <w:rPr>
            <w:rStyle w:val="Hyperlink"/>
            <w:sz w:val="23"/>
            <w:szCs w:val="23"/>
          </w:rPr>
          <w:t>www.cepr.net</w:t>
        </w:r>
      </w:hyperlink>
      <w:r>
        <w:rPr>
          <w:sz w:val="23"/>
          <w:szCs w:val="23"/>
        </w:rPr>
        <w:t xml:space="preserve">. She coordinates OWINFS, </w:t>
      </w:r>
      <w:r w:rsidR="00463A82" w:rsidRPr="004E5025">
        <w:rPr>
          <w:sz w:val="23"/>
          <w:szCs w:val="23"/>
        </w:rPr>
        <w:t xml:space="preserve">a global network of </w:t>
      </w:r>
      <w:r>
        <w:rPr>
          <w:sz w:val="23"/>
          <w:szCs w:val="23"/>
        </w:rPr>
        <w:t>civil society groups</w:t>
      </w:r>
      <w:r w:rsidR="00463A82" w:rsidRPr="004E5025">
        <w:rPr>
          <w:sz w:val="23"/>
          <w:szCs w:val="23"/>
        </w:rPr>
        <w:t xml:space="preserve"> working for a sustainable, socially just, and democratic multilateral trading system. </w:t>
      </w:r>
      <w:hyperlink r:id="rId29" w:history="1">
        <w:r w:rsidR="00463A82" w:rsidRPr="004E5025">
          <w:rPr>
            <w:rStyle w:val="Hyperlink"/>
            <w:sz w:val="23"/>
            <w:szCs w:val="23"/>
          </w:rPr>
          <w:t>www.ourworldisnotforsale.org</w:t>
        </w:r>
      </w:hyperlink>
      <w:r w:rsidR="00463A82" w:rsidRPr="004E5025">
        <w:rPr>
          <w:sz w:val="23"/>
          <w:szCs w:val="23"/>
        </w:rPr>
        <w:t xml:space="preserve"> </w:t>
      </w:r>
    </w:p>
    <w:sectPr w:rsidR="00463A82" w:rsidRPr="004E5025" w:rsidSect="00BE2C2C">
      <w:headerReference w:type="even" r:id="rId30"/>
      <w:headerReference w:type="default" r:id="rId31"/>
      <w:footerReference w:type="even" r:id="rId32"/>
      <w:footerReference w:type="default" r:id="rId33"/>
      <w:headerReference w:type="first" r:id="rId34"/>
      <w:footerReference w:type="first" r:id="rId3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1CE06" w14:textId="77777777" w:rsidR="001048B7" w:rsidRDefault="001048B7" w:rsidP="00175D61">
      <w:r>
        <w:separator/>
      </w:r>
    </w:p>
  </w:endnote>
  <w:endnote w:type="continuationSeparator" w:id="0">
    <w:p w14:paraId="4E87F7A3" w14:textId="77777777" w:rsidR="001048B7" w:rsidRDefault="001048B7" w:rsidP="0017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552BD" w14:textId="77777777" w:rsidR="00DF6071" w:rsidRDefault="00DF60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4DAC" w14:textId="77777777" w:rsidR="00DF6071" w:rsidRDefault="00DF60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2B6C" w14:textId="77777777" w:rsidR="00DF6071" w:rsidRDefault="00DF60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6C3B" w14:textId="77777777" w:rsidR="001048B7" w:rsidRDefault="001048B7" w:rsidP="00175D61">
      <w:r>
        <w:separator/>
      </w:r>
    </w:p>
  </w:footnote>
  <w:footnote w:type="continuationSeparator" w:id="0">
    <w:p w14:paraId="0945A974" w14:textId="77777777" w:rsidR="001048B7" w:rsidRDefault="001048B7" w:rsidP="00175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6F16F" w14:textId="77777777" w:rsidR="00DF6071" w:rsidRDefault="00DF60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2F4E" w14:textId="77777777" w:rsidR="00DF6071" w:rsidRDefault="00DF60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8824" w14:textId="77777777" w:rsidR="00DF6071" w:rsidRDefault="00DF6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02D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8E"/>
    <w:rsid w:val="0000469D"/>
    <w:rsid w:val="00005193"/>
    <w:rsid w:val="00007D2A"/>
    <w:rsid w:val="00014D29"/>
    <w:rsid w:val="00035F07"/>
    <w:rsid w:val="00053655"/>
    <w:rsid w:val="000579F5"/>
    <w:rsid w:val="000773F5"/>
    <w:rsid w:val="000843C7"/>
    <w:rsid w:val="0008686D"/>
    <w:rsid w:val="00086A54"/>
    <w:rsid w:val="00093F7B"/>
    <w:rsid w:val="0009586A"/>
    <w:rsid w:val="0009746C"/>
    <w:rsid w:val="000A60AE"/>
    <w:rsid w:val="000B14A0"/>
    <w:rsid w:val="000B2119"/>
    <w:rsid w:val="000C438C"/>
    <w:rsid w:val="000C7F23"/>
    <w:rsid w:val="000D232D"/>
    <w:rsid w:val="000E1C67"/>
    <w:rsid w:val="000F2833"/>
    <w:rsid w:val="000F49F8"/>
    <w:rsid w:val="000F6A57"/>
    <w:rsid w:val="000F7D21"/>
    <w:rsid w:val="00100446"/>
    <w:rsid w:val="001048B7"/>
    <w:rsid w:val="0011425E"/>
    <w:rsid w:val="001210C4"/>
    <w:rsid w:val="0012624E"/>
    <w:rsid w:val="00127D6C"/>
    <w:rsid w:val="001500E4"/>
    <w:rsid w:val="00150E14"/>
    <w:rsid w:val="001574B8"/>
    <w:rsid w:val="00161719"/>
    <w:rsid w:val="001622A0"/>
    <w:rsid w:val="00166480"/>
    <w:rsid w:val="00175D61"/>
    <w:rsid w:val="00195278"/>
    <w:rsid w:val="0019730E"/>
    <w:rsid w:val="001A2034"/>
    <w:rsid w:val="001B03DD"/>
    <w:rsid w:val="001C700A"/>
    <w:rsid w:val="001D70EF"/>
    <w:rsid w:val="001E7948"/>
    <w:rsid w:val="002030E2"/>
    <w:rsid w:val="00203590"/>
    <w:rsid w:val="002042BB"/>
    <w:rsid w:val="002052CD"/>
    <w:rsid w:val="00206E7B"/>
    <w:rsid w:val="00210019"/>
    <w:rsid w:val="002100E8"/>
    <w:rsid w:val="0022151C"/>
    <w:rsid w:val="00235B97"/>
    <w:rsid w:val="00237C4C"/>
    <w:rsid w:val="00237D5D"/>
    <w:rsid w:val="0024101E"/>
    <w:rsid w:val="00243B60"/>
    <w:rsid w:val="00252788"/>
    <w:rsid w:val="002704D9"/>
    <w:rsid w:val="002727E4"/>
    <w:rsid w:val="002814E7"/>
    <w:rsid w:val="0028245A"/>
    <w:rsid w:val="00287D84"/>
    <w:rsid w:val="002A4BF4"/>
    <w:rsid w:val="002B1D08"/>
    <w:rsid w:val="002C20A2"/>
    <w:rsid w:val="002C2988"/>
    <w:rsid w:val="002C5D2C"/>
    <w:rsid w:val="002D274E"/>
    <w:rsid w:val="002D7D04"/>
    <w:rsid w:val="002E394B"/>
    <w:rsid w:val="00363F6E"/>
    <w:rsid w:val="00373090"/>
    <w:rsid w:val="00392263"/>
    <w:rsid w:val="0039790B"/>
    <w:rsid w:val="003A20C9"/>
    <w:rsid w:val="003C5C2A"/>
    <w:rsid w:val="003C749E"/>
    <w:rsid w:val="003E444D"/>
    <w:rsid w:val="003F3440"/>
    <w:rsid w:val="003F3D77"/>
    <w:rsid w:val="00401FB3"/>
    <w:rsid w:val="00402A71"/>
    <w:rsid w:val="0041093E"/>
    <w:rsid w:val="004142F4"/>
    <w:rsid w:val="00415324"/>
    <w:rsid w:val="0042315C"/>
    <w:rsid w:val="004233B0"/>
    <w:rsid w:val="00424819"/>
    <w:rsid w:val="00424BAA"/>
    <w:rsid w:val="004335E0"/>
    <w:rsid w:val="004461CB"/>
    <w:rsid w:val="00460525"/>
    <w:rsid w:val="00463A82"/>
    <w:rsid w:val="00465D3B"/>
    <w:rsid w:val="004706F6"/>
    <w:rsid w:val="00480774"/>
    <w:rsid w:val="004B6F14"/>
    <w:rsid w:val="004C414E"/>
    <w:rsid w:val="004C7240"/>
    <w:rsid w:val="004E4614"/>
    <w:rsid w:val="004E5025"/>
    <w:rsid w:val="004E738E"/>
    <w:rsid w:val="00501EB7"/>
    <w:rsid w:val="005118BB"/>
    <w:rsid w:val="005177E0"/>
    <w:rsid w:val="00532832"/>
    <w:rsid w:val="00536EE9"/>
    <w:rsid w:val="00537FAB"/>
    <w:rsid w:val="005577D8"/>
    <w:rsid w:val="005709C6"/>
    <w:rsid w:val="00597589"/>
    <w:rsid w:val="005A47FF"/>
    <w:rsid w:val="005C175B"/>
    <w:rsid w:val="00600DCD"/>
    <w:rsid w:val="00602B57"/>
    <w:rsid w:val="00611DF8"/>
    <w:rsid w:val="0061356D"/>
    <w:rsid w:val="00616850"/>
    <w:rsid w:val="00617BD7"/>
    <w:rsid w:val="00621731"/>
    <w:rsid w:val="0062575A"/>
    <w:rsid w:val="00632295"/>
    <w:rsid w:val="00645080"/>
    <w:rsid w:val="00663377"/>
    <w:rsid w:val="00671DE5"/>
    <w:rsid w:val="00677A10"/>
    <w:rsid w:val="006926C7"/>
    <w:rsid w:val="006A276A"/>
    <w:rsid w:val="006A66E0"/>
    <w:rsid w:val="006B3D11"/>
    <w:rsid w:val="006B7FC0"/>
    <w:rsid w:val="006C1493"/>
    <w:rsid w:val="006C5379"/>
    <w:rsid w:val="006D5F19"/>
    <w:rsid w:val="006E01CB"/>
    <w:rsid w:val="006E34B7"/>
    <w:rsid w:val="006F34F1"/>
    <w:rsid w:val="006F5946"/>
    <w:rsid w:val="0071318E"/>
    <w:rsid w:val="00726EB2"/>
    <w:rsid w:val="007321B5"/>
    <w:rsid w:val="00740558"/>
    <w:rsid w:val="00756A4E"/>
    <w:rsid w:val="00773DCA"/>
    <w:rsid w:val="007757F3"/>
    <w:rsid w:val="00777561"/>
    <w:rsid w:val="00782557"/>
    <w:rsid w:val="00784811"/>
    <w:rsid w:val="00791E46"/>
    <w:rsid w:val="00791F1A"/>
    <w:rsid w:val="007A2E9B"/>
    <w:rsid w:val="007C1B52"/>
    <w:rsid w:val="007C51A2"/>
    <w:rsid w:val="007E183D"/>
    <w:rsid w:val="007E39CF"/>
    <w:rsid w:val="007F7D02"/>
    <w:rsid w:val="0081013F"/>
    <w:rsid w:val="00836859"/>
    <w:rsid w:val="008423D4"/>
    <w:rsid w:val="00844E99"/>
    <w:rsid w:val="00850DEE"/>
    <w:rsid w:val="00852DEE"/>
    <w:rsid w:val="00861A21"/>
    <w:rsid w:val="00865543"/>
    <w:rsid w:val="00874785"/>
    <w:rsid w:val="00875C32"/>
    <w:rsid w:val="00881CD5"/>
    <w:rsid w:val="00881E45"/>
    <w:rsid w:val="008823E0"/>
    <w:rsid w:val="008921AF"/>
    <w:rsid w:val="008B119F"/>
    <w:rsid w:val="008B29E0"/>
    <w:rsid w:val="008C1F73"/>
    <w:rsid w:val="008C7E78"/>
    <w:rsid w:val="008F0F94"/>
    <w:rsid w:val="0090692F"/>
    <w:rsid w:val="0090799B"/>
    <w:rsid w:val="0091504D"/>
    <w:rsid w:val="00937A9D"/>
    <w:rsid w:val="0094585F"/>
    <w:rsid w:val="00946B8B"/>
    <w:rsid w:val="00952E8B"/>
    <w:rsid w:val="0096014A"/>
    <w:rsid w:val="00970B17"/>
    <w:rsid w:val="00993346"/>
    <w:rsid w:val="00994224"/>
    <w:rsid w:val="00995245"/>
    <w:rsid w:val="009A1A48"/>
    <w:rsid w:val="009A6CDB"/>
    <w:rsid w:val="009A7A99"/>
    <w:rsid w:val="009B45E2"/>
    <w:rsid w:val="009C1413"/>
    <w:rsid w:val="009C43F3"/>
    <w:rsid w:val="009C4525"/>
    <w:rsid w:val="009D339D"/>
    <w:rsid w:val="009D6B4C"/>
    <w:rsid w:val="009E7885"/>
    <w:rsid w:val="009F5A2A"/>
    <w:rsid w:val="00A01272"/>
    <w:rsid w:val="00A30CEE"/>
    <w:rsid w:val="00A4365A"/>
    <w:rsid w:val="00A54A53"/>
    <w:rsid w:val="00A656B3"/>
    <w:rsid w:val="00A677C7"/>
    <w:rsid w:val="00A67D14"/>
    <w:rsid w:val="00A74A1B"/>
    <w:rsid w:val="00A85DBF"/>
    <w:rsid w:val="00A87AD8"/>
    <w:rsid w:val="00A91D3B"/>
    <w:rsid w:val="00A929D9"/>
    <w:rsid w:val="00A9326A"/>
    <w:rsid w:val="00A936B4"/>
    <w:rsid w:val="00A94CCD"/>
    <w:rsid w:val="00AB7C60"/>
    <w:rsid w:val="00AC3C5A"/>
    <w:rsid w:val="00AC55E9"/>
    <w:rsid w:val="00AE1347"/>
    <w:rsid w:val="00AE245D"/>
    <w:rsid w:val="00AF3F31"/>
    <w:rsid w:val="00B14045"/>
    <w:rsid w:val="00B2258D"/>
    <w:rsid w:val="00B520EE"/>
    <w:rsid w:val="00B546E2"/>
    <w:rsid w:val="00B553FC"/>
    <w:rsid w:val="00B72C42"/>
    <w:rsid w:val="00B90300"/>
    <w:rsid w:val="00B924D1"/>
    <w:rsid w:val="00B93D2F"/>
    <w:rsid w:val="00B943A0"/>
    <w:rsid w:val="00B94C5E"/>
    <w:rsid w:val="00B97727"/>
    <w:rsid w:val="00BB2C40"/>
    <w:rsid w:val="00BC4630"/>
    <w:rsid w:val="00BD370E"/>
    <w:rsid w:val="00BE2C2C"/>
    <w:rsid w:val="00BF57E2"/>
    <w:rsid w:val="00C0498A"/>
    <w:rsid w:val="00C243DB"/>
    <w:rsid w:val="00C345EF"/>
    <w:rsid w:val="00C40765"/>
    <w:rsid w:val="00C516FB"/>
    <w:rsid w:val="00C5324E"/>
    <w:rsid w:val="00C700FE"/>
    <w:rsid w:val="00C8325D"/>
    <w:rsid w:val="00C83BBD"/>
    <w:rsid w:val="00C8722E"/>
    <w:rsid w:val="00C92EE4"/>
    <w:rsid w:val="00C948E4"/>
    <w:rsid w:val="00CA3387"/>
    <w:rsid w:val="00CB779F"/>
    <w:rsid w:val="00CD0D4D"/>
    <w:rsid w:val="00D1050B"/>
    <w:rsid w:val="00D13A6B"/>
    <w:rsid w:val="00D41B11"/>
    <w:rsid w:val="00D42FAE"/>
    <w:rsid w:val="00D45085"/>
    <w:rsid w:val="00D56C1E"/>
    <w:rsid w:val="00D63C86"/>
    <w:rsid w:val="00D6498A"/>
    <w:rsid w:val="00D64FFB"/>
    <w:rsid w:val="00D80881"/>
    <w:rsid w:val="00D80C9B"/>
    <w:rsid w:val="00D8166F"/>
    <w:rsid w:val="00D82B5D"/>
    <w:rsid w:val="00D85913"/>
    <w:rsid w:val="00DC4992"/>
    <w:rsid w:val="00DC6908"/>
    <w:rsid w:val="00DF0B1F"/>
    <w:rsid w:val="00DF6071"/>
    <w:rsid w:val="00E04392"/>
    <w:rsid w:val="00E20D89"/>
    <w:rsid w:val="00E2697F"/>
    <w:rsid w:val="00E42F8E"/>
    <w:rsid w:val="00E50AC4"/>
    <w:rsid w:val="00E52A97"/>
    <w:rsid w:val="00E5466E"/>
    <w:rsid w:val="00E729FA"/>
    <w:rsid w:val="00E763B5"/>
    <w:rsid w:val="00E80493"/>
    <w:rsid w:val="00E81163"/>
    <w:rsid w:val="00EA5520"/>
    <w:rsid w:val="00EB4B49"/>
    <w:rsid w:val="00EC05B2"/>
    <w:rsid w:val="00ED367A"/>
    <w:rsid w:val="00ED4C25"/>
    <w:rsid w:val="00EE6DDD"/>
    <w:rsid w:val="00EF7420"/>
    <w:rsid w:val="00F023EA"/>
    <w:rsid w:val="00F06843"/>
    <w:rsid w:val="00F1127B"/>
    <w:rsid w:val="00F21983"/>
    <w:rsid w:val="00F275CD"/>
    <w:rsid w:val="00F404A9"/>
    <w:rsid w:val="00F66194"/>
    <w:rsid w:val="00F7130E"/>
    <w:rsid w:val="00F907DE"/>
    <w:rsid w:val="00F94E2D"/>
    <w:rsid w:val="00FA54D7"/>
    <w:rsid w:val="00FB0E9F"/>
    <w:rsid w:val="00FB7735"/>
    <w:rsid w:val="00FC0669"/>
    <w:rsid w:val="00FC5136"/>
    <w:rsid w:val="00FE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8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character" w:customStyle="1" w:styleId="TitleChar">
    <w:name w:val="Title Char"/>
    <w:link w:val="Title"/>
    <w:rsid w:val="00B72C42"/>
    <w:rPr>
      <w:b/>
      <w:noProof/>
      <w:sz w:val="24"/>
    </w:rPr>
  </w:style>
  <w:style w:type="character" w:styleId="Hyperlink">
    <w:name w:val="Hyperlink"/>
    <w:uiPriority w:val="99"/>
    <w:unhideWhenUsed/>
    <w:rsid w:val="00463A82"/>
    <w:rPr>
      <w:color w:val="0000FF"/>
      <w:u w:val="single"/>
    </w:rPr>
  </w:style>
  <w:style w:type="character" w:customStyle="1" w:styleId="hps">
    <w:name w:val="hps"/>
    <w:rsid w:val="007E183D"/>
  </w:style>
  <w:style w:type="paragraph" w:styleId="PlainText">
    <w:name w:val="Plain Text"/>
    <w:basedOn w:val="Normal"/>
    <w:link w:val="PlainTextChar"/>
    <w:uiPriority w:val="99"/>
    <w:unhideWhenUsed/>
    <w:rsid w:val="007E183D"/>
    <w:rPr>
      <w:rFonts w:eastAsia="Calibri"/>
      <w:noProof w:val="0"/>
      <w:sz w:val="28"/>
      <w:szCs w:val="28"/>
    </w:rPr>
  </w:style>
  <w:style w:type="character" w:customStyle="1" w:styleId="PlainTextChar">
    <w:name w:val="Plain Text Char"/>
    <w:link w:val="PlainText"/>
    <w:uiPriority w:val="99"/>
    <w:rsid w:val="007E183D"/>
    <w:rPr>
      <w:rFonts w:eastAsia="Calibri"/>
      <w:sz w:val="28"/>
      <w:szCs w:val="28"/>
    </w:rPr>
  </w:style>
  <w:style w:type="character" w:styleId="FollowedHyperlink">
    <w:name w:val="FollowedHyperlink"/>
    <w:basedOn w:val="DefaultParagraphFont"/>
    <w:uiPriority w:val="99"/>
    <w:semiHidden/>
    <w:unhideWhenUsed/>
    <w:rsid w:val="0090692F"/>
    <w:rPr>
      <w:color w:val="800080" w:themeColor="followedHyperlink"/>
      <w:u w:val="single"/>
    </w:rPr>
  </w:style>
  <w:style w:type="character" w:styleId="CommentReference">
    <w:name w:val="annotation reference"/>
    <w:basedOn w:val="DefaultParagraphFont"/>
    <w:uiPriority w:val="99"/>
    <w:semiHidden/>
    <w:unhideWhenUsed/>
    <w:rsid w:val="00536EE9"/>
    <w:rPr>
      <w:sz w:val="16"/>
      <w:szCs w:val="16"/>
    </w:rPr>
  </w:style>
  <w:style w:type="paragraph" w:styleId="CommentText">
    <w:name w:val="annotation text"/>
    <w:basedOn w:val="Normal"/>
    <w:link w:val="CommentTextChar"/>
    <w:uiPriority w:val="99"/>
    <w:semiHidden/>
    <w:unhideWhenUsed/>
    <w:rsid w:val="00536EE9"/>
    <w:rPr>
      <w:sz w:val="20"/>
    </w:rPr>
  </w:style>
  <w:style w:type="character" w:customStyle="1" w:styleId="CommentTextChar">
    <w:name w:val="Comment Text Char"/>
    <w:basedOn w:val="DefaultParagraphFont"/>
    <w:link w:val="CommentText"/>
    <w:uiPriority w:val="99"/>
    <w:semiHidden/>
    <w:rsid w:val="00536EE9"/>
    <w:rPr>
      <w:noProof/>
    </w:rPr>
  </w:style>
  <w:style w:type="paragraph" w:styleId="CommentSubject">
    <w:name w:val="annotation subject"/>
    <w:basedOn w:val="CommentText"/>
    <w:next w:val="CommentText"/>
    <w:link w:val="CommentSubjectChar"/>
    <w:uiPriority w:val="99"/>
    <w:semiHidden/>
    <w:unhideWhenUsed/>
    <w:rsid w:val="00536EE9"/>
    <w:rPr>
      <w:b/>
      <w:bCs/>
    </w:rPr>
  </w:style>
  <w:style w:type="character" w:customStyle="1" w:styleId="CommentSubjectChar">
    <w:name w:val="Comment Subject Char"/>
    <w:basedOn w:val="CommentTextChar"/>
    <w:link w:val="CommentSubject"/>
    <w:uiPriority w:val="99"/>
    <w:semiHidden/>
    <w:rsid w:val="00536EE9"/>
    <w:rPr>
      <w:b/>
      <w:bCs/>
      <w:noProof/>
    </w:rPr>
  </w:style>
  <w:style w:type="paragraph" w:styleId="BalloonText">
    <w:name w:val="Balloon Text"/>
    <w:basedOn w:val="Normal"/>
    <w:link w:val="BalloonTextChar"/>
    <w:uiPriority w:val="99"/>
    <w:semiHidden/>
    <w:unhideWhenUsed/>
    <w:rsid w:val="00536EE9"/>
    <w:rPr>
      <w:rFonts w:ascii="Tahoma" w:hAnsi="Tahoma" w:cs="Tahoma"/>
      <w:sz w:val="16"/>
      <w:szCs w:val="16"/>
    </w:rPr>
  </w:style>
  <w:style w:type="character" w:customStyle="1" w:styleId="BalloonTextChar">
    <w:name w:val="Balloon Text Char"/>
    <w:basedOn w:val="DefaultParagraphFont"/>
    <w:link w:val="BalloonText"/>
    <w:uiPriority w:val="99"/>
    <w:semiHidden/>
    <w:rsid w:val="00536EE9"/>
    <w:rPr>
      <w:rFonts w:ascii="Tahoma" w:hAnsi="Tahoma" w:cs="Tahoma"/>
      <w:noProof/>
      <w:sz w:val="16"/>
      <w:szCs w:val="16"/>
    </w:rPr>
  </w:style>
  <w:style w:type="paragraph" w:styleId="Header">
    <w:name w:val="header"/>
    <w:basedOn w:val="Normal"/>
    <w:link w:val="HeaderChar"/>
    <w:uiPriority w:val="99"/>
    <w:unhideWhenUsed/>
    <w:rsid w:val="00175D61"/>
    <w:pPr>
      <w:tabs>
        <w:tab w:val="center" w:pos="4513"/>
        <w:tab w:val="right" w:pos="9026"/>
      </w:tabs>
    </w:pPr>
  </w:style>
  <w:style w:type="character" w:customStyle="1" w:styleId="HeaderChar">
    <w:name w:val="Header Char"/>
    <w:basedOn w:val="DefaultParagraphFont"/>
    <w:link w:val="Header"/>
    <w:uiPriority w:val="99"/>
    <w:rsid w:val="00175D61"/>
    <w:rPr>
      <w:noProof/>
      <w:sz w:val="24"/>
    </w:rPr>
  </w:style>
  <w:style w:type="paragraph" w:styleId="Footer">
    <w:name w:val="footer"/>
    <w:basedOn w:val="Normal"/>
    <w:link w:val="FooterChar"/>
    <w:uiPriority w:val="99"/>
    <w:unhideWhenUsed/>
    <w:rsid w:val="00175D61"/>
    <w:pPr>
      <w:tabs>
        <w:tab w:val="center" w:pos="4513"/>
        <w:tab w:val="right" w:pos="9026"/>
      </w:tabs>
    </w:pPr>
  </w:style>
  <w:style w:type="character" w:customStyle="1" w:styleId="FooterChar">
    <w:name w:val="Footer Char"/>
    <w:basedOn w:val="DefaultParagraphFont"/>
    <w:link w:val="Footer"/>
    <w:uiPriority w:val="99"/>
    <w:rsid w:val="00175D61"/>
    <w:rPr>
      <w:noProof/>
      <w:sz w:val="24"/>
    </w:rPr>
  </w:style>
  <w:style w:type="paragraph" w:styleId="Revision">
    <w:name w:val="Revision"/>
    <w:hidden/>
    <w:uiPriority w:val="71"/>
    <w:rsid w:val="004B6F14"/>
    <w:rPr>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character" w:customStyle="1" w:styleId="TitleChar">
    <w:name w:val="Title Char"/>
    <w:link w:val="Title"/>
    <w:rsid w:val="00B72C42"/>
    <w:rPr>
      <w:b/>
      <w:noProof/>
      <w:sz w:val="24"/>
    </w:rPr>
  </w:style>
  <w:style w:type="character" w:styleId="Hyperlink">
    <w:name w:val="Hyperlink"/>
    <w:uiPriority w:val="99"/>
    <w:unhideWhenUsed/>
    <w:rsid w:val="00463A82"/>
    <w:rPr>
      <w:color w:val="0000FF"/>
      <w:u w:val="single"/>
    </w:rPr>
  </w:style>
  <w:style w:type="character" w:customStyle="1" w:styleId="hps">
    <w:name w:val="hps"/>
    <w:rsid w:val="007E183D"/>
  </w:style>
  <w:style w:type="paragraph" w:styleId="PlainText">
    <w:name w:val="Plain Text"/>
    <w:basedOn w:val="Normal"/>
    <w:link w:val="PlainTextChar"/>
    <w:uiPriority w:val="99"/>
    <w:unhideWhenUsed/>
    <w:rsid w:val="007E183D"/>
    <w:rPr>
      <w:rFonts w:eastAsia="Calibri"/>
      <w:noProof w:val="0"/>
      <w:sz w:val="28"/>
      <w:szCs w:val="28"/>
    </w:rPr>
  </w:style>
  <w:style w:type="character" w:customStyle="1" w:styleId="PlainTextChar">
    <w:name w:val="Plain Text Char"/>
    <w:link w:val="PlainText"/>
    <w:uiPriority w:val="99"/>
    <w:rsid w:val="007E183D"/>
    <w:rPr>
      <w:rFonts w:eastAsia="Calibri"/>
      <w:sz w:val="28"/>
      <w:szCs w:val="28"/>
    </w:rPr>
  </w:style>
  <w:style w:type="character" w:styleId="FollowedHyperlink">
    <w:name w:val="FollowedHyperlink"/>
    <w:basedOn w:val="DefaultParagraphFont"/>
    <w:uiPriority w:val="99"/>
    <w:semiHidden/>
    <w:unhideWhenUsed/>
    <w:rsid w:val="0090692F"/>
    <w:rPr>
      <w:color w:val="800080" w:themeColor="followedHyperlink"/>
      <w:u w:val="single"/>
    </w:rPr>
  </w:style>
  <w:style w:type="character" w:styleId="CommentReference">
    <w:name w:val="annotation reference"/>
    <w:basedOn w:val="DefaultParagraphFont"/>
    <w:uiPriority w:val="99"/>
    <w:semiHidden/>
    <w:unhideWhenUsed/>
    <w:rsid w:val="00536EE9"/>
    <w:rPr>
      <w:sz w:val="16"/>
      <w:szCs w:val="16"/>
    </w:rPr>
  </w:style>
  <w:style w:type="paragraph" w:styleId="CommentText">
    <w:name w:val="annotation text"/>
    <w:basedOn w:val="Normal"/>
    <w:link w:val="CommentTextChar"/>
    <w:uiPriority w:val="99"/>
    <w:semiHidden/>
    <w:unhideWhenUsed/>
    <w:rsid w:val="00536EE9"/>
    <w:rPr>
      <w:sz w:val="20"/>
    </w:rPr>
  </w:style>
  <w:style w:type="character" w:customStyle="1" w:styleId="CommentTextChar">
    <w:name w:val="Comment Text Char"/>
    <w:basedOn w:val="DefaultParagraphFont"/>
    <w:link w:val="CommentText"/>
    <w:uiPriority w:val="99"/>
    <w:semiHidden/>
    <w:rsid w:val="00536EE9"/>
    <w:rPr>
      <w:noProof/>
    </w:rPr>
  </w:style>
  <w:style w:type="paragraph" w:styleId="CommentSubject">
    <w:name w:val="annotation subject"/>
    <w:basedOn w:val="CommentText"/>
    <w:next w:val="CommentText"/>
    <w:link w:val="CommentSubjectChar"/>
    <w:uiPriority w:val="99"/>
    <w:semiHidden/>
    <w:unhideWhenUsed/>
    <w:rsid w:val="00536EE9"/>
    <w:rPr>
      <w:b/>
      <w:bCs/>
    </w:rPr>
  </w:style>
  <w:style w:type="character" w:customStyle="1" w:styleId="CommentSubjectChar">
    <w:name w:val="Comment Subject Char"/>
    <w:basedOn w:val="CommentTextChar"/>
    <w:link w:val="CommentSubject"/>
    <w:uiPriority w:val="99"/>
    <w:semiHidden/>
    <w:rsid w:val="00536EE9"/>
    <w:rPr>
      <w:b/>
      <w:bCs/>
      <w:noProof/>
    </w:rPr>
  </w:style>
  <w:style w:type="paragraph" w:styleId="BalloonText">
    <w:name w:val="Balloon Text"/>
    <w:basedOn w:val="Normal"/>
    <w:link w:val="BalloonTextChar"/>
    <w:uiPriority w:val="99"/>
    <w:semiHidden/>
    <w:unhideWhenUsed/>
    <w:rsid w:val="00536EE9"/>
    <w:rPr>
      <w:rFonts w:ascii="Tahoma" w:hAnsi="Tahoma" w:cs="Tahoma"/>
      <w:sz w:val="16"/>
      <w:szCs w:val="16"/>
    </w:rPr>
  </w:style>
  <w:style w:type="character" w:customStyle="1" w:styleId="BalloonTextChar">
    <w:name w:val="Balloon Text Char"/>
    <w:basedOn w:val="DefaultParagraphFont"/>
    <w:link w:val="BalloonText"/>
    <w:uiPriority w:val="99"/>
    <w:semiHidden/>
    <w:rsid w:val="00536EE9"/>
    <w:rPr>
      <w:rFonts w:ascii="Tahoma" w:hAnsi="Tahoma" w:cs="Tahoma"/>
      <w:noProof/>
      <w:sz w:val="16"/>
      <w:szCs w:val="16"/>
    </w:rPr>
  </w:style>
  <w:style w:type="paragraph" w:styleId="Header">
    <w:name w:val="header"/>
    <w:basedOn w:val="Normal"/>
    <w:link w:val="HeaderChar"/>
    <w:uiPriority w:val="99"/>
    <w:unhideWhenUsed/>
    <w:rsid w:val="00175D61"/>
    <w:pPr>
      <w:tabs>
        <w:tab w:val="center" w:pos="4513"/>
        <w:tab w:val="right" w:pos="9026"/>
      </w:tabs>
    </w:pPr>
  </w:style>
  <w:style w:type="character" w:customStyle="1" w:styleId="HeaderChar">
    <w:name w:val="Header Char"/>
    <w:basedOn w:val="DefaultParagraphFont"/>
    <w:link w:val="Header"/>
    <w:uiPriority w:val="99"/>
    <w:rsid w:val="00175D61"/>
    <w:rPr>
      <w:noProof/>
      <w:sz w:val="24"/>
    </w:rPr>
  </w:style>
  <w:style w:type="paragraph" w:styleId="Footer">
    <w:name w:val="footer"/>
    <w:basedOn w:val="Normal"/>
    <w:link w:val="FooterChar"/>
    <w:uiPriority w:val="99"/>
    <w:unhideWhenUsed/>
    <w:rsid w:val="00175D61"/>
    <w:pPr>
      <w:tabs>
        <w:tab w:val="center" w:pos="4513"/>
        <w:tab w:val="right" w:pos="9026"/>
      </w:tabs>
    </w:pPr>
  </w:style>
  <w:style w:type="character" w:customStyle="1" w:styleId="FooterChar">
    <w:name w:val="Footer Char"/>
    <w:basedOn w:val="DefaultParagraphFont"/>
    <w:link w:val="Footer"/>
    <w:uiPriority w:val="99"/>
    <w:rsid w:val="00175D61"/>
    <w:rPr>
      <w:noProof/>
      <w:sz w:val="24"/>
    </w:rPr>
  </w:style>
  <w:style w:type="paragraph" w:styleId="Revision">
    <w:name w:val="Revision"/>
    <w:hidden/>
    <w:uiPriority w:val="71"/>
    <w:rsid w:val="004B6F14"/>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94872">
          <w:marLeft w:val="0"/>
          <w:marRight w:val="0"/>
          <w:marTop w:val="0"/>
          <w:marBottom w:val="0"/>
          <w:divBdr>
            <w:top w:val="none" w:sz="0" w:space="0" w:color="auto"/>
            <w:left w:val="none" w:sz="0" w:space="0" w:color="auto"/>
            <w:bottom w:val="none" w:sz="0" w:space="0" w:color="auto"/>
            <w:right w:val="none" w:sz="0" w:space="0" w:color="auto"/>
          </w:divBdr>
        </w:div>
        <w:div w:id="1035812103">
          <w:marLeft w:val="0"/>
          <w:marRight w:val="0"/>
          <w:marTop w:val="0"/>
          <w:marBottom w:val="0"/>
          <w:divBdr>
            <w:top w:val="none" w:sz="0" w:space="0" w:color="auto"/>
            <w:left w:val="none" w:sz="0" w:space="0" w:color="auto"/>
            <w:bottom w:val="none" w:sz="0" w:space="0" w:color="auto"/>
            <w:right w:val="none" w:sz="0" w:space="0" w:color="auto"/>
          </w:divBdr>
        </w:div>
        <w:div w:id="1619946774">
          <w:marLeft w:val="0"/>
          <w:marRight w:val="0"/>
          <w:marTop w:val="0"/>
          <w:marBottom w:val="0"/>
          <w:divBdr>
            <w:top w:val="none" w:sz="0" w:space="0" w:color="auto"/>
            <w:left w:val="none" w:sz="0" w:space="0" w:color="auto"/>
            <w:bottom w:val="none" w:sz="0" w:space="0" w:color="auto"/>
            <w:right w:val="none" w:sz="0" w:space="0" w:color="auto"/>
          </w:divBdr>
        </w:div>
      </w:divsChild>
    </w:div>
    <w:div w:id="430901843">
      <w:bodyDiv w:val="1"/>
      <w:marLeft w:val="0"/>
      <w:marRight w:val="0"/>
      <w:marTop w:val="0"/>
      <w:marBottom w:val="0"/>
      <w:divBdr>
        <w:top w:val="none" w:sz="0" w:space="0" w:color="auto"/>
        <w:left w:val="none" w:sz="0" w:space="0" w:color="auto"/>
        <w:bottom w:val="none" w:sz="0" w:space="0" w:color="auto"/>
        <w:right w:val="none" w:sz="0" w:space="0" w:color="auto"/>
      </w:divBdr>
    </w:div>
    <w:div w:id="1155682904">
      <w:bodyDiv w:val="1"/>
      <w:marLeft w:val="0"/>
      <w:marRight w:val="0"/>
      <w:marTop w:val="0"/>
      <w:marBottom w:val="0"/>
      <w:divBdr>
        <w:top w:val="none" w:sz="0" w:space="0" w:color="auto"/>
        <w:left w:val="none" w:sz="0" w:space="0" w:color="auto"/>
        <w:bottom w:val="none" w:sz="0" w:space="0" w:color="auto"/>
        <w:right w:val="none" w:sz="0" w:space="0" w:color="auto"/>
      </w:divBdr>
    </w:div>
    <w:div w:id="1418745715">
      <w:bodyDiv w:val="1"/>
      <w:marLeft w:val="0"/>
      <w:marRight w:val="0"/>
      <w:marTop w:val="0"/>
      <w:marBottom w:val="0"/>
      <w:divBdr>
        <w:top w:val="none" w:sz="0" w:space="0" w:color="auto"/>
        <w:left w:val="none" w:sz="0" w:space="0" w:color="auto"/>
        <w:bottom w:val="none" w:sz="0" w:space="0" w:color="auto"/>
        <w:right w:val="none" w:sz="0" w:space="0" w:color="auto"/>
      </w:divBdr>
    </w:div>
    <w:div w:id="1660304033">
      <w:bodyDiv w:val="1"/>
      <w:marLeft w:val="0"/>
      <w:marRight w:val="0"/>
      <w:marTop w:val="0"/>
      <w:marBottom w:val="0"/>
      <w:divBdr>
        <w:top w:val="none" w:sz="0" w:space="0" w:color="auto"/>
        <w:left w:val="none" w:sz="0" w:space="0" w:color="auto"/>
        <w:bottom w:val="none" w:sz="0" w:space="0" w:color="auto"/>
        <w:right w:val="none" w:sz="0" w:space="0" w:color="auto"/>
      </w:divBdr>
    </w:div>
    <w:div w:id="2112505080">
      <w:bodyDiv w:val="1"/>
      <w:marLeft w:val="0"/>
      <w:marRight w:val="0"/>
      <w:marTop w:val="0"/>
      <w:marBottom w:val="0"/>
      <w:divBdr>
        <w:top w:val="none" w:sz="0" w:space="0" w:color="auto"/>
        <w:left w:val="none" w:sz="0" w:space="0" w:color="auto"/>
        <w:bottom w:val="none" w:sz="0" w:space="0" w:color="auto"/>
        <w:right w:val="none" w:sz="0" w:space="0" w:color="auto"/>
      </w:divBdr>
      <w:divsChild>
        <w:div w:id="1234966648">
          <w:marLeft w:val="0"/>
          <w:marRight w:val="0"/>
          <w:marTop w:val="0"/>
          <w:marBottom w:val="0"/>
          <w:divBdr>
            <w:top w:val="none" w:sz="0" w:space="0" w:color="auto"/>
            <w:left w:val="none" w:sz="0" w:space="0" w:color="auto"/>
            <w:bottom w:val="none" w:sz="0" w:space="0" w:color="auto"/>
            <w:right w:val="none" w:sz="0" w:space="0" w:color="auto"/>
          </w:divBdr>
        </w:div>
        <w:div w:id="9066532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ikileaks.org/tisa/core/" TargetMode="External"/><Relationship Id="rId21" Type="http://schemas.openxmlformats.org/officeDocument/2006/relationships/hyperlink" Target="https://wikileaks.org/tisa/" TargetMode="External"/><Relationship Id="rId22" Type="http://schemas.openxmlformats.org/officeDocument/2006/relationships/hyperlink" Target="https://ttip-leaks.org/favez/" TargetMode="External"/><Relationship Id="rId23" Type="http://schemas.openxmlformats.org/officeDocument/2006/relationships/hyperlink" Target="https://wikileaks.org/tisa/" TargetMode="External"/><Relationship Id="rId24" Type="http://schemas.openxmlformats.org/officeDocument/2006/relationships/hyperlink" Target="http://www.world-psi.org/en/psi-special-report-tisa-versus-public-services" TargetMode="External"/><Relationship Id="rId25" Type="http://schemas.openxmlformats.org/officeDocument/2006/relationships/hyperlink" Target="http://ourworldisnotforsale.org/en/report/owinfs-and-psi-releases-special-report-trade-services-agreement-tisa" TargetMode="External"/><Relationship Id="rId26" Type="http://schemas.openxmlformats.org/officeDocument/2006/relationships/hyperlink" Target="http://ourworldisnotforsale.org/en/report/why-trade-services-agreement-tisa-dangerous-democracy-development-and-public-interest" TargetMode="External"/><Relationship Id="rId27" Type="http://schemas.openxmlformats.org/officeDocument/2006/relationships/hyperlink" Target="http://ourworldisnotforsale.org/en/themes/3085" TargetMode="External"/><Relationship Id="rId28" Type="http://schemas.openxmlformats.org/officeDocument/2006/relationships/hyperlink" Target="http://www.cepr.net" TargetMode="External"/><Relationship Id="rId29" Type="http://schemas.openxmlformats.org/officeDocument/2006/relationships/hyperlink" Target="http://www.ourworldisnotforsal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huffingtonpost.com/deborah-james/as-deadline-looms-wikilea_b_12491038.html" TargetMode="External"/><Relationship Id="rId11" Type="http://schemas.openxmlformats.org/officeDocument/2006/relationships/hyperlink" Target="https://wikileaks.org/tisa/" TargetMode="External"/><Relationship Id="rId12" Type="http://schemas.openxmlformats.org/officeDocument/2006/relationships/hyperlink" Target="https://download.ei-ie.org/Docs/WebDepot/FINAL_TiSA_Press_Statement.pdf" TargetMode="External"/><Relationship Id="rId13" Type="http://schemas.openxmlformats.org/officeDocument/2006/relationships/hyperlink" Target="http://www.telegraph.co.uk/business/2016/09/21/un-fears-third-leg-of-the-global-financial-crisis-with-epic-debt/" TargetMode="External"/><Relationship Id="rId14" Type="http://schemas.openxmlformats.org/officeDocument/2006/relationships/hyperlink" Target="http://ourworldisnotforsale.org/en/signon/international-civil-society-sends-letter-governments-opposing-proposed-trade-services-agreeme" TargetMode="External"/><Relationship Id="rId15" Type="http://schemas.openxmlformats.org/officeDocument/2006/relationships/hyperlink" Target="https://wikileaks.org/tisa-financial/" TargetMode="External"/><Relationship Id="rId16" Type="http://schemas.openxmlformats.org/officeDocument/2006/relationships/hyperlink" Target="http://www.ourworldisnotforsale.org/en/report/briefing-us-tisa-proposal-e-commerce-technoloy-transfer-cross-border-data-flows-and-net-neutr" TargetMode="External"/><Relationship Id="rId17" Type="http://schemas.openxmlformats.org/officeDocument/2006/relationships/hyperlink" Target="https://data.awp.is/international/2015/02/04/22.html" TargetMode="External"/><Relationship Id="rId18" Type="http://schemas.openxmlformats.org/officeDocument/2006/relationships/hyperlink" Target="https://wikileaks.org/tisa/" TargetMode="External"/><Relationship Id="rId19" Type="http://schemas.openxmlformats.org/officeDocument/2006/relationships/hyperlink" Target="https://wikileaks.org/tisa/core/"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FA0F-6CD4-D149-BD2B-6D0AFBCC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11225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13168</CharactersWithSpaces>
  <SharedDoc>false</SharedDoc>
  <HLinks>
    <vt:vector size="54" baseType="variant">
      <vt:variant>
        <vt:i4>6946880</vt:i4>
      </vt:variant>
      <vt:variant>
        <vt:i4>24</vt:i4>
      </vt:variant>
      <vt:variant>
        <vt:i4>0</vt:i4>
      </vt:variant>
      <vt:variant>
        <vt:i4>5</vt:i4>
      </vt:variant>
      <vt:variant>
        <vt:lpwstr>http://www.ourworldisnotforsale.org</vt:lpwstr>
      </vt:variant>
      <vt:variant>
        <vt:lpwstr/>
      </vt:variant>
      <vt:variant>
        <vt:i4>5111921</vt:i4>
      </vt:variant>
      <vt:variant>
        <vt:i4>21</vt:i4>
      </vt:variant>
      <vt:variant>
        <vt:i4>0</vt:i4>
      </vt:variant>
      <vt:variant>
        <vt:i4>5</vt:i4>
      </vt:variant>
      <vt:variant>
        <vt:lpwstr>mailto:apcsecretariat@asianpeasant.org</vt:lpwstr>
      </vt:variant>
      <vt:variant>
        <vt:lpwstr/>
      </vt:variant>
      <vt:variant>
        <vt:i4>3801106</vt:i4>
      </vt:variant>
      <vt:variant>
        <vt:i4>18</vt:i4>
      </vt:variant>
      <vt:variant>
        <vt:i4>0</vt:i4>
      </vt:variant>
      <vt:variant>
        <vt:i4>5</vt:i4>
      </vt:variant>
      <vt:variant>
        <vt:lpwstr>mailto:cdrake@aflcio.org</vt:lpwstr>
      </vt:variant>
      <vt:variant>
        <vt:lpwstr/>
      </vt:variant>
      <vt:variant>
        <vt:i4>7077984</vt:i4>
      </vt:variant>
      <vt:variant>
        <vt:i4>15</vt:i4>
      </vt:variant>
      <vt:variant>
        <vt:i4>0</vt:i4>
      </vt:variant>
      <vt:variant>
        <vt:i4>5</vt:i4>
      </vt:variant>
      <vt:variant>
        <vt:lpwstr>mailto:reni@igj.or.id</vt:lpwstr>
      </vt:variant>
      <vt:variant>
        <vt:lpwstr/>
      </vt:variant>
      <vt:variant>
        <vt:i4>6029339</vt:i4>
      </vt:variant>
      <vt:variant>
        <vt:i4>12</vt:i4>
      </vt:variant>
      <vt:variant>
        <vt:i4>0</vt:i4>
      </vt:variant>
      <vt:variant>
        <vt:i4>5</vt:i4>
      </vt:variant>
      <vt:variant>
        <vt:lpwstr>mailto:kmp@kilusangmagbubukid.org</vt:lpwstr>
      </vt:variant>
      <vt:variant>
        <vt:lpwstr/>
      </vt:variant>
      <vt:variant>
        <vt:i4>1638483</vt:i4>
      </vt:variant>
      <vt:variant>
        <vt:i4>9</vt:i4>
      </vt:variant>
      <vt:variant>
        <vt:i4>0</vt:i4>
      </vt:variant>
      <vt:variant>
        <vt:i4>5</vt:i4>
      </vt:variant>
      <vt:variant>
        <vt:lpwstr>mailto:lwallach@citizen.org</vt:lpwstr>
      </vt:variant>
      <vt:variant>
        <vt:lpwstr/>
      </vt:variant>
      <vt:variant>
        <vt:i4>262184</vt:i4>
      </vt:variant>
      <vt:variant>
        <vt:i4>6</vt:i4>
      </vt:variant>
      <vt:variant>
        <vt:i4>0</vt:i4>
      </vt:variant>
      <vt:variant>
        <vt:i4>5</vt:i4>
      </vt:variant>
      <vt:variant>
        <vt:lpwstr>mailto:J.kelsey@auckland.ac.nz</vt:lpwstr>
      </vt:variant>
      <vt:variant>
        <vt:lpwstr/>
      </vt:variant>
      <vt:variant>
        <vt:i4>6225955</vt:i4>
      </vt:variant>
      <vt:variant>
        <vt:i4>3</vt:i4>
      </vt:variant>
      <vt:variant>
        <vt:i4>0</vt:i4>
      </vt:variant>
      <vt:variant>
        <vt:i4>5</vt:i4>
      </vt:variant>
      <vt:variant>
        <vt:lpwstr>mailto:ario.adityo@gmail.com</vt:lpwstr>
      </vt:variant>
      <vt:variant>
        <vt:lpwstr/>
      </vt:variant>
      <vt:variant>
        <vt:i4>6291504</vt:i4>
      </vt:variant>
      <vt:variant>
        <vt:i4>0</vt:i4>
      </vt:variant>
      <vt:variant>
        <vt:i4>0</vt:i4>
      </vt:variant>
      <vt:variant>
        <vt:i4>5</vt:i4>
      </vt:variant>
      <vt:variant>
        <vt:lpwstr>mailto:adhemarmineiro@hotmail.com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2016-10-14T18:19:00Z</dcterms:created>
  <dcterms:modified xsi:type="dcterms:W3CDTF">2016-10-14T18:20:00Z</dcterms:modified>
</cp:coreProperties>
</file>