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6AE" w:rsidRDefault="00F916AE" w:rsidP="00F916AE">
      <w:pPr>
        <w:autoSpaceDE w:val="0"/>
        <w:autoSpaceDN w:val="0"/>
        <w:ind w:left="360"/>
        <w:jc w:val="center"/>
        <w:rPr>
          <w:rFonts w:ascii="Arial" w:hAnsi="Arial" w:cs="Arial"/>
          <w:sz w:val="28"/>
          <w:szCs w:val="28"/>
        </w:rPr>
      </w:pPr>
      <w:r>
        <w:rPr>
          <w:rFonts w:ascii="Arial" w:hAnsi="Arial" w:cs="Arial"/>
          <w:noProof/>
          <w:sz w:val="28"/>
          <w:szCs w:val="28"/>
        </w:rPr>
        <w:drawing>
          <wp:inline distT="0" distB="0" distL="0" distR="0">
            <wp:extent cx="3305175"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381125"/>
                    </a:xfrm>
                    <a:prstGeom prst="rect">
                      <a:avLst/>
                    </a:prstGeom>
                    <a:noFill/>
                    <a:ln>
                      <a:noFill/>
                    </a:ln>
                  </pic:spPr>
                </pic:pic>
              </a:graphicData>
            </a:graphic>
          </wp:inline>
        </w:drawing>
      </w:r>
      <w:bookmarkStart w:id="0" w:name="_GoBack"/>
      <w:bookmarkEnd w:id="0"/>
    </w:p>
    <w:p w:rsidR="005C7B6E" w:rsidRDefault="005C7B6E" w:rsidP="00F916AE">
      <w:pPr>
        <w:autoSpaceDE w:val="0"/>
        <w:autoSpaceDN w:val="0"/>
        <w:ind w:left="360"/>
        <w:jc w:val="center"/>
        <w:rPr>
          <w:rFonts w:ascii="Arial" w:hAnsi="Arial" w:cs="Arial"/>
          <w:sz w:val="28"/>
          <w:szCs w:val="28"/>
        </w:rPr>
      </w:pPr>
    </w:p>
    <w:p w:rsidR="00F916AE" w:rsidRDefault="00F916AE" w:rsidP="00F916AE">
      <w:pPr>
        <w:autoSpaceDE w:val="0"/>
        <w:autoSpaceDN w:val="0"/>
        <w:ind w:left="360"/>
        <w:jc w:val="center"/>
        <w:rPr>
          <w:rFonts w:ascii="Times New Roman" w:hAnsi="Times New Roman"/>
          <w:b/>
          <w:sz w:val="20"/>
          <w:szCs w:val="20"/>
        </w:rPr>
      </w:pPr>
      <w:r>
        <w:rPr>
          <w:rFonts w:ascii="Times New Roman" w:hAnsi="Times New Roman"/>
          <w:b/>
          <w:sz w:val="36"/>
          <w:szCs w:val="36"/>
        </w:rPr>
        <w:t>Reporter’s Note</w:t>
      </w:r>
    </w:p>
    <w:p w:rsidR="00F916AE" w:rsidRDefault="00F916AE" w:rsidP="00F916AE">
      <w:pPr>
        <w:autoSpaceDE w:val="0"/>
        <w:autoSpaceDN w:val="0"/>
        <w:ind w:left="360"/>
        <w:jc w:val="center"/>
        <w:rPr>
          <w:rFonts w:ascii="Times New Roman" w:hAnsi="Times New Roman"/>
          <w:i/>
          <w:sz w:val="28"/>
          <w:szCs w:val="28"/>
        </w:rPr>
      </w:pPr>
      <w:r>
        <w:rPr>
          <w:rFonts w:ascii="Times New Roman" w:hAnsi="Times New Roman"/>
          <w:i/>
          <w:sz w:val="28"/>
          <w:szCs w:val="28"/>
        </w:rPr>
        <w:t>What to expect from Trump’s release of NAFTA renegotiation objectives related to food, agriculture</w:t>
      </w:r>
      <w:r w:rsidR="000B1C00">
        <w:rPr>
          <w:rFonts w:ascii="Times New Roman" w:hAnsi="Times New Roman"/>
          <w:i/>
          <w:sz w:val="28"/>
          <w:szCs w:val="28"/>
        </w:rPr>
        <w:t>, chemicals, and biotechnology</w:t>
      </w:r>
    </w:p>
    <w:p w:rsidR="00F916AE" w:rsidRPr="00BE39D2" w:rsidRDefault="00F916AE" w:rsidP="00BE39D2">
      <w:pPr>
        <w:pStyle w:val="NormalWeb"/>
      </w:pPr>
      <w:r w:rsidRPr="006200BE">
        <w:t>On</w:t>
      </w:r>
      <w:r w:rsidR="00BA6D6C" w:rsidRPr="006200BE">
        <w:t xml:space="preserve"> or about</w:t>
      </w:r>
      <w:r w:rsidRPr="006200BE">
        <w:t xml:space="preserve"> July 17, 2017, as required by law, U.S. Trade Representative (USTR) Robert </w:t>
      </w:r>
      <w:r w:rsidRPr="00BE39D2">
        <w:t>Lighthizer will release the Trump Administration’s North American Free Trade Agreement (NAFTA) renegotiating objectives.</w:t>
      </w:r>
      <w:r w:rsidR="0073765F" w:rsidRPr="00BE39D2">
        <w:rPr>
          <w:rStyle w:val="EndnoteReference"/>
        </w:rPr>
        <w:endnoteReference w:id="1"/>
      </w:r>
      <w:r w:rsidRPr="00BE39D2">
        <w:t xml:space="preserve"> Formal negotiations with Canada and Mexico will commence on or about August 16, 2017. </w:t>
      </w:r>
    </w:p>
    <w:p w:rsidR="00F916AE" w:rsidRPr="00BE39D2" w:rsidRDefault="00F916AE" w:rsidP="00BE39D2">
      <w:pPr>
        <w:pStyle w:val="NormalWeb"/>
      </w:pPr>
      <w:r w:rsidRPr="00BE39D2">
        <w:t>Donald Trump demonized NAFTA during his presidential campaign, calling it “the worst</w:t>
      </w:r>
      <w:r w:rsidR="000D1454" w:rsidRPr="00BE39D2">
        <w:t xml:space="preserve"> trade deal</w:t>
      </w:r>
      <w:r w:rsidR="0084214F" w:rsidRPr="00BE39D2">
        <w:t>,</w:t>
      </w:r>
      <w:r w:rsidRPr="00BE39D2">
        <w:t>” and made assurances that he would rework NAFTA and other trade deals to protect the American people.</w:t>
      </w:r>
      <w:r w:rsidRPr="00BE39D2">
        <w:rPr>
          <w:rStyle w:val="EndnoteReference"/>
        </w:rPr>
        <w:endnoteReference w:id="2"/>
      </w:r>
      <w:r w:rsidRPr="00BE39D2">
        <w:t xml:space="preserve"> Now, it appears that Trump </w:t>
      </w:r>
      <w:r w:rsidR="00900A13" w:rsidRPr="00BE39D2">
        <w:t xml:space="preserve">modified </w:t>
      </w:r>
      <w:r w:rsidR="00A50A5B" w:rsidRPr="00BE39D2">
        <w:t xml:space="preserve">his message. He </w:t>
      </w:r>
      <w:r w:rsidRPr="00BE39D2">
        <w:t>plans to step up his war on the planet in th</w:t>
      </w:r>
      <w:r w:rsidR="00A50A5B" w:rsidRPr="00BE39D2">
        <w:t>e course of renegotiating NAFTA.</w:t>
      </w:r>
      <w:r w:rsidR="00EC6B63" w:rsidRPr="00BE39D2">
        <w:rPr>
          <w:rStyle w:val="EndnoteReference"/>
        </w:rPr>
        <w:endnoteReference w:id="3"/>
      </w:r>
    </w:p>
    <w:p w:rsidR="000563B3" w:rsidRPr="00BE39D2" w:rsidRDefault="00F916AE" w:rsidP="00BE39D2">
      <w:pPr>
        <w:pStyle w:val="NormalWeb"/>
      </w:pPr>
      <w:r w:rsidRPr="00BE39D2">
        <w:rPr>
          <w:color w:val="222222"/>
          <w:shd w:val="clear" w:color="auto" w:fill="FFFFFF"/>
        </w:rPr>
        <w:t xml:space="preserve">NAFTA renegotiation raises a </w:t>
      </w:r>
      <w:r w:rsidR="005C7B6E" w:rsidRPr="00BE39D2">
        <w:rPr>
          <w:color w:val="222222"/>
          <w:shd w:val="clear" w:color="auto" w:fill="FFFFFF"/>
        </w:rPr>
        <w:t xml:space="preserve">wide </w:t>
      </w:r>
      <w:r w:rsidRPr="00BE39D2">
        <w:rPr>
          <w:color w:val="222222"/>
          <w:shd w:val="clear" w:color="auto" w:fill="FFFFFF"/>
        </w:rPr>
        <w:t>range of environmental concerns,</w:t>
      </w:r>
      <w:r w:rsidRPr="00BE39D2">
        <w:rPr>
          <w:rStyle w:val="EndnoteReference"/>
          <w:color w:val="222222"/>
          <w:shd w:val="clear" w:color="auto" w:fill="FFFFFF"/>
        </w:rPr>
        <w:endnoteReference w:id="4"/>
      </w:r>
      <w:r w:rsidRPr="00BE39D2">
        <w:rPr>
          <w:color w:val="222222"/>
          <w:shd w:val="clear" w:color="auto" w:fill="FFFFFF"/>
        </w:rPr>
        <w:t xml:space="preserve"> as well as </w:t>
      </w:r>
      <w:r w:rsidRPr="00BE39D2">
        <w:t>an even broader range of public interest and economic concerns.</w:t>
      </w:r>
      <w:r w:rsidRPr="00BE39D2">
        <w:rPr>
          <w:rStyle w:val="EndnoteReference"/>
        </w:rPr>
        <w:endnoteReference w:id="5"/>
      </w:r>
      <w:r w:rsidRPr="00BE39D2">
        <w:t xml:space="preserve"> This note, however, focuses on NAFTA negotiating objectives affecting food, agricultu</w:t>
      </w:r>
      <w:r w:rsidR="007D63E7" w:rsidRPr="00BE39D2">
        <w:t>re, chemicals, and bio</w:t>
      </w:r>
      <w:r w:rsidR="00EC7817" w:rsidRPr="00BE39D2">
        <w:t>technology</w:t>
      </w:r>
      <w:r w:rsidR="006200BE" w:rsidRPr="00BE39D2">
        <w:t xml:space="preserve"> </w:t>
      </w:r>
      <w:r w:rsidR="00EC7817" w:rsidRPr="00BE39D2">
        <w:t>policies</w:t>
      </w:r>
      <w:r w:rsidRPr="00BE39D2">
        <w:t>. The Administration’s state</w:t>
      </w:r>
      <w:r w:rsidR="00A40C45" w:rsidRPr="00BE39D2">
        <w:t xml:space="preserve">ment on July 17 of its </w:t>
      </w:r>
      <w:r w:rsidRPr="00BE39D2">
        <w:t>NAF</w:t>
      </w:r>
      <w:r w:rsidR="003F6344" w:rsidRPr="00BE39D2">
        <w:t>TA negotiating objectives may</w:t>
      </w:r>
      <w:r w:rsidRPr="00BE39D2">
        <w:t xml:space="preserve"> reveal with more certainty a threat to environmental regulations related to food and chemical safety, sustainable family farms, and biotechnology, among many others.</w:t>
      </w:r>
      <w:r w:rsidRPr="00BE39D2">
        <w:rPr>
          <w:rStyle w:val="EndnoteReference"/>
        </w:rPr>
        <w:endnoteReference w:id="6"/>
      </w:r>
      <w:r w:rsidRPr="00BE39D2">
        <w:t xml:space="preserve"> </w:t>
      </w:r>
      <w:r w:rsidR="007639DC" w:rsidRPr="00BE39D2">
        <w:t xml:space="preserve">At the same time, </w:t>
      </w:r>
      <w:r w:rsidR="005C7B6E" w:rsidRPr="00BE39D2">
        <w:t xml:space="preserve">however, </w:t>
      </w:r>
      <w:r w:rsidR="007639DC" w:rsidRPr="00BE39D2">
        <w:t xml:space="preserve">rumors are circulating that Trump may seek to keep Congress and the public in the dark about many of his real intentions by breaking with all past practice </w:t>
      </w:r>
      <w:r w:rsidR="005C7B6E" w:rsidRPr="00BE39D2">
        <w:t xml:space="preserve">and </w:t>
      </w:r>
      <w:r w:rsidR="007639DC" w:rsidRPr="00BE39D2">
        <w:t xml:space="preserve">failing to provide </w:t>
      </w:r>
      <w:r w:rsidR="005C7B6E" w:rsidRPr="00BE39D2">
        <w:t xml:space="preserve">any </w:t>
      </w:r>
      <w:r w:rsidR="007639DC" w:rsidRPr="00BE39D2">
        <w:t>detail</w:t>
      </w:r>
      <w:r w:rsidR="005C7B6E" w:rsidRPr="00BE39D2">
        <w:t>s</w:t>
      </w:r>
      <w:r w:rsidR="007639DC" w:rsidRPr="00BE39D2">
        <w:t xml:space="preserve"> on his objectives. </w:t>
      </w:r>
    </w:p>
    <w:p w:rsidR="00F916AE" w:rsidRPr="00BE39D2" w:rsidRDefault="00F916AE" w:rsidP="00BE39D2">
      <w:pPr>
        <w:pStyle w:val="NormalWeb"/>
      </w:pPr>
      <w:r w:rsidRPr="00BE39D2">
        <w:t>This note</w:t>
      </w:r>
      <w:r w:rsidR="007639DC" w:rsidRPr="00BE39D2">
        <w:t>, nonetheless,</w:t>
      </w:r>
      <w:r w:rsidRPr="00BE39D2">
        <w:t xml:space="preserve"> should be useful as you quickly unpack the July 17 document and meet your publication deadline. Friends of the Earth will also evaluate the document on the 17</w:t>
      </w:r>
      <w:r w:rsidRPr="00BE39D2">
        <w:rPr>
          <w:vertAlign w:val="superscript"/>
        </w:rPr>
        <w:t>th</w:t>
      </w:r>
      <w:r w:rsidRPr="00BE39D2">
        <w:t xml:space="preserve"> and issue a statement and an analysis of its implications.</w:t>
      </w:r>
      <w:r w:rsidR="00A4070A" w:rsidRPr="00BE39D2">
        <w:t xml:space="preserve"> It may also be helpful in making sense of a document likely to be composed in trade law jargon. For example, “sanitary and phytosanitary measures” </w:t>
      </w:r>
      <w:r w:rsidR="005C7B6E" w:rsidRPr="00BE39D2">
        <w:t xml:space="preserve">refers to </w:t>
      </w:r>
      <w:r w:rsidR="00A4070A" w:rsidRPr="00BE39D2">
        <w:t>food safety and animal welfare regulations.</w:t>
      </w:r>
    </w:p>
    <w:p w:rsidR="00F916AE" w:rsidRPr="00BE39D2" w:rsidRDefault="00F916AE" w:rsidP="00BE39D2">
      <w:pPr>
        <w:pStyle w:val="NormalWeb"/>
        <w:keepNext/>
        <w:jc w:val="center"/>
        <w:rPr>
          <w:b/>
        </w:rPr>
      </w:pPr>
      <w:r w:rsidRPr="00BE39D2">
        <w:rPr>
          <w:b/>
        </w:rPr>
        <w:t>The Big Picture</w:t>
      </w:r>
    </w:p>
    <w:p w:rsidR="00F916AE" w:rsidRPr="00BE39D2" w:rsidRDefault="00F916AE" w:rsidP="00BE39D2">
      <w:pPr>
        <w:spacing w:line="240" w:lineRule="auto"/>
        <w:rPr>
          <w:rFonts w:ascii="Times New Roman" w:hAnsi="Times New Roman"/>
          <w:sz w:val="24"/>
          <w:szCs w:val="24"/>
        </w:rPr>
      </w:pPr>
      <w:r w:rsidRPr="00BE39D2">
        <w:rPr>
          <w:rFonts w:ascii="Times New Roman" w:hAnsi="Times New Roman"/>
          <w:color w:val="222222"/>
          <w:sz w:val="24"/>
          <w:szCs w:val="24"/>
          <w:shd w:val="clear" w:color="auto" w:fill="FFFFFF"/>
        </w:rPr>
        <w:t>N</w:t>
      </w:r>
      <w:r w:rsidRPr="00BE39D2">
        <w:rPr>
          <w:rFonts w:ascii="Times New Roman" w:hAnsi="Times New Roman"/>
          <w:sz w:val="24"/>
          <w:szCs w:val="24"/>
        </w:rPr>
        <w:t>egotiating objectives related to environmental regulation in a NAFTA “re-do” are likely to reflect many elements of the Trans-Pacific Partnership (TPP),</w:t>
      </w:r>
      <w:r w:rsidRPr="00BE39D2">
        <w:rPr>
          <w:rStyle w:val="EndnoteReference"/>
          <w:rFonts w:ascii="Times New Roman" w:hAnsi="Times New Roman"/>
          <w:sz w:val="24"/>
          <w:szCs w:val="24"/>
        </w:rPr>
        <w:endnoteReference w:id="7"/>
      </w:r>
      <w:r w:rsidRPr="00BE39D2">
        <w:rPr>
          <w:rFonts w:ascii="Times New Roman" w:hAnsi="Times New Roman"/>
          <w:sz w:val="24"/>
          <w:szCs w:val="24"/>
        </w:rPr>
        <w:t xml:space="preserve"> along with elements of U.S. proposals in the Transatlantic Trade and Investment Partnership (TTIP) </w:t>
      </w:r>
      <w:r w:rsidRPr="00BE39D2">
        <w:rPr>
          <w:rStyle w:val="EndnoteReference"/>
          <w:rFonts w:ascii="Times New Roman" w:hAnsi="Times New Roman"/>
          <w:sz w:val="24"/>
          <w:szCs w:val="24"/>
        </w:rPr>
        <w:endnoteReference w:id="8"/>
      </w:r>
      <w:r w:rsidRPr="00BE39D2">
        <w:rPr>
          <w:rFonts w:ascii="Times New Roman" w:hAnsi="Times New Roman"/>
          <w:sz w:val="24"/>
          <w:szCs w:val="24"/>
        </w:rPr>
        <w:t xml:space="preserve"> and Trade in Services Agreement negotiations.</w:t>
      </w:r>
      <w:r w:rsidRPr="00BE39D2">
        <w:rPr>
          <w:rStyle w:val="EndnoteReference"/>
          <w:rFonts w:ascii="Times New Roman" w:hAnsi="Times New Roman"/>
          <w:sz w:val="24"/>
          <w:szCs w:val="24"/>
        </w:rPr>
        <w:endnoteReference w:id="9"/>
      </w:r>
      <w:r w:rsidR="003E1E12" w:rsidRPr="00BE39D2">
        <w:rPr>
          <w:rFonts w:ascii="Times New Roman" w:hAnsi="Times New Roman"/>
          <w:sz w:val="24"/>
          <w:szCs w:val="24"/>
        </w:rPr>
        <w:t xml:space="preserve"> </w:t>
      </w:r>
    </w:p>
    <w:p w:rsidR="00F916AE" w:rsidRPr="00BE39D2" w:rsidRDefault="00F916AE" w:rsidP="00BE39D2">
      <w:pPr>
        <w:spacing w:line="240" w:lineRule="auto"/>
        <w:rPr>
          <w:rFonts w:ascii="Times New Roman" w:hAnsi="Times New Roman"/>
          <w:sz w:val="24"/>
          <w:szCs w:val="24"/>
        </w:rPr>
      </w:pPr>
      <w:r w:rsidRPr="00BE39D2">
        <w:rPr>
          <w:rFonts w:ascii="Times New Roman" w:hAnsi="Times New Roman"/>
          <w:sz w:val="24"/>
          <w:szCs w:val="24"/>
        </w:rPr>
        <w:t>All of these proposed trade deals, like the current NAFTA, establish international trade tribunals with authorization to impose sanctions such as export tariffs or loss of international intellectual property rights to enforce environmental regulations in non-compliant member states. In addition, the original NAFTA, the TPP, and the TTIP included investment chapters that would allow global corporations and wealthy investors to sue nation states for millions or billions of dollars in money damages. More often than not, these measures are effective in rolling back environmental and consumer safety regulations.</w:t>
      </w:r>
    </w:p>
    <w:p w:rsidR="00F916AE" w:rsidRPr="00BE39D2" w:rsidRDefault="00F916AE" w:rsidP="00BE39D2">
      <w:pPr>
        <w:pStyle w:val="NormalWeb"/>
      </w:pPr>
      <w:r w:rsidRPr="00BE39D2">
        <w:t>Trump expediently attacked the TPP in his presidential campaign due to concerns about the trade deficit and the outsourcing of manufacturing jobs. Nevertheless, he apparently likes the provisions of the TPP that can undercut environmental regulations.</w:t>
      </w:r>
      <w:r w:rsidRPr="00BE39D2">
        <w:rPr>
          <w:color w:val="222222"/>
          <w:shd w:val="clear" w:color="auto" w:fill="FFFFFF"/>
        </w:rPr>
        <w:t xml:space="preserve"> </w:t>
      </w:r>
      <w:r w:rsidRPr="00BE39D2">
        <w:t>Commerce Secretary Wilbur Ross recently said, “There are some concessions that the NAFTA partners made in connection with the proposed TPP. There is no reason to throw those away. We would view those as the starting point.”</w:t>
      </w:r>
      <w:r w:rsidRPr="00BE39D2">
        <w:rPr>
          <w:rStyle w:val="EndnoteReference"/>
        </w:rPr>
        <w:endnoteReference w:id="10"/>
      </w:r>
    </w:p>
    <w:p w:rsidR="006D23AB" w:rsidRPr="00BE39D2" w:rsidRDefault="00F916AE" w:rsidP="00BE39D2">
      <w:pPr>
        <w:pStyle w:val="NormalWeb"/>
        <w:rPr>
          <w:color w:val="222222"/>
          <w:shd w:val="clear" w:color="auto" w:fill="FFFFFF"/>
        </w:rPr>
      </w:pPr>
      <w:r w:rsidRPr="00BE39D2">
        <w:rPr>
          <w:color w:val="222222"/>
          <w:shd w:val="clear" w:color="auto" w:fill="FFFFFF"/>
        </w:rPr>
        <w:t>Trump can be expected to support global corporations that have called for a rollback of environmental and public health</w:t>
      </w:r>
      <w:r w:rsidR="006D23AB" w:rsidRPr="00BE39D2">
        <w:rPr>
          <w:color w:val="222222"/>
          <w:shd w:val="clear" w:color="auto" w:fill="FFFFFF"/>
        </w:rPr>
        <w:t xml:space="preserve"> regulations</w:t>
      </w:r>
      <w:r w:rsidRPr="00BE39D2">
        <w:rPr>
          <w:color w:val="222222"/>
          <w:shd w:val="clear" w:color="auto" w:fill="FFFFFF"/>
        </w:rPr>
        <w:t>. Dozens of powerful corporate lobby groups ranging from the American Farm Bureau</w:t>
      </w:r>
      <w:r w:rsidRPr="00BE39D2">
        <w:rPr>
          <w:rStyle w:val="EndnoteReference"/>
          <w:color w:val="222222"/>
          <w:shd w:val="clear" w:color="auto" w:fill="FFFFFF"/>
        </w:rPr>
        <w:endnoteReference w:id="11"/>
      </w:r>
      <w:r w:rsidRPr="00BE39D2">
        <w:rPr>
          <w:color w:val="222222"/>
          <w:shd w:val="clear" w:color="auto" w:fill="FFFFFF"/>
        </w:rPr>
        <w:t xml:space="preserve"> and the Corn Growers Association</w:t>
      </w:r>
      <w:r w:rsidRPr="00BE39D2">
        <w:rPr>
          <w:rStyle w:val="EndnoteReference"/>
          <w:color w:val="222222"/>
          <w:shd w:val="clear" w:color="auto" w:fill="FFFFFF"/>
        </w:rPr>
        <w:endnoteReference w:id="12"/>
      </w:r>
      <w:r w:rsidRPr="00BE39D2">
        <w:rPr>
          <w:color w:val="222222"/>
          <w:shd w:val="clear" w:color="auto" w:fill="FFFFFF"/>
        </w:rPr>
        <w:t xml:space="preserve"> to DuPont Chemical</w:t>
      </w:r>
      <w:r w:rsidRPr="00BE39D2">
        <w:rPr>
          <w:rStyle w:val="EndnoteReference"/>
          <w:color w:val="222222"/>
          <w:shd w:val="clear" w:color="auto" w:fill="FFFFFF"/>
        </w:rPr>
        <w:endnoteReference w:id="13"/>
      </w:r>
      <w:r w:rsidRPr="00BE39D2">
        <w:rPr>
          <w:color w:val="222222"/>
          <w:shd w:val="clear" w:color="auto" w:fill="FFFFFF"/>
        </w:rPr>
        <w:t xml:space="preserve"> and the Business Roundtable</w:t>
      </w:r>
      <w:r w:rsidRPr="00BE39D2">
        <w:rPr>
          <w:rStyle w:val="EndnoteReference"/>
          <w:color w:val="222222"/>
          <w:shd w:val="clear" w:color="auto" w:fill="FFFFFF"/>
        </w:rPr>
        <w:endnoteReference w:id="14"/>
      </w:r>
      <w:r w:rsidRPr="00BE39D2">
        <w:rPr>
          <w:color w:val="222222"/>
          <w:shd w:val="clear" w:color="auto" w:fill="FFFFFF"/>
        </w:rPr>
        <w:t xml:space="preserve"> have filed public comments with the USTR demanding a rollback of public health, environmental, and other public interest regulations. </w:t>
      </w:r>
    </w:p>
    <w:p w:rsidR="00F916AE" w:rsidRPr="00BE39D2" w:rsidRDefault="006200BE" w:rsidP="00BE39D2">
      <w:pPr>
        <w:pStyle w:val="NormalWeb"/>
        <w:rPr>
          <w:color w:val="222222"/>
          <w:shd w:val="clear" w:color="auto" w:fill="FFFFFF"/>
        </w:rPr>
      </w:pPr>
      <w:r w:rsidRPr="00BE39D2">
        <w:rPr>
          <w:color w:val="222222"/>
          <w:shd w:val="clear" w:color="auto" w:fill="FFFFFF"/>
        </w:rPr>
        <w:t>After unleashing Scott Prui</w:t>
      </w:r>
      <w:r w:rsidR="00F916AE" w:rsidRPr="00BE39D2">
        <w:rPr>
          <w:color w:val="222222"/>
          <w:shd w:val="clear" w:color="auto" w:fill="FFFFFF"/>
        </w:rPr>
        <w:t>tt</w:t>
      </w:r>
      <w:r w:rsidR="006D23AB" w:rsidRPr="00BE39D2">
        <w:rPr>
          <w:color w:val="222222"/>
          <w:shd w:val="clear" w:color="auto" w:fill="FFFFFF"/>
        </w:rPr>
        <w:t xml:space="preserve"> and his deregulation task force</w:t>
      </w:r>
      <w:r w:rsidR="00F916AE" w:rsidRPr="00BE39D2">
        <w:rPr>
          <w:color w:val="222222"/>
          <w:shd w:val="clear" w:color="auto" w:fill="FFFFFF"/>
        </w:rPr>
        <w:t xml:space="preserve"> to cripple the Environmental Protection Agency</w:t>
      </w:r>
      <w:r w:rsidR="006D23AB" w:rsidRPr="00BE39D2">
        <w:rPr>
          <w:rStyle w:val="EndnoteReference"/>
          <w:color w:val="222222"/>
          <w:shd w:val="clear" w:color="auto" w:fill="FFFFFF"/>
        </w:rPr>
        <w:endnoteReference w:id="15"/>
      </w:r>
      <w:r w:rsidR="00F916AE" w:rsidRPr="00BE39D2">
        <w:rPr>
          <w:color w:val="222222"/>
          <w:shd w:val="clear" w:color="auto" w:fill="FFFFFF"/>
        </w:rPr>
        <w:t xml:space="preserve"> and pulling the U.S. out of the Paris climate agreement, Trump is almost certain to continue his record of attack on the planet in the upcoming </w:t>
      </w:r>
      <w:r w:rsidR="00270C98" w:rsidRPr="00BE39D2">
        <w:rPr>
          <w:color w:val="222222"/>
          <w:shd w:val="clear" w:color="auto" w:fill="FFFFFF"/>
        </w:rPr>
        <w:t>NAFTA renegotiation</w:t>
      </w:r>
      <w:r w:rsidR="00F916AE" w:rsidRPr="00BE39D2">
        <w:rPr>
          <w:color w:val="222222"/>
          <w:shd w:val="clear" w:color="auto" w:fill="FFFFFF"/>
        </w:rPr>
        <w:t>.</w:t>
      </w:r>
      <w:r w:rsidR="00F916AE" w:rsidRPr="00BE39D2">
        <w:rPr>
          <w:rStyle w:val="EndnoteReference"/>
          <w:color w:val="222222"/>
          <w:shd w:val="clear" w:color="auto" w:fill="FFFFFF"/>
        </w:rPr>
        <w:endnoteReference w:id="16"/>
      </w:r>
    </w:p>
    <w:p w:rsidR="00F916AE" w:rsidRPr="00BE39D2" w:rsidRDefault="00F916AE" w:rsidP="00BE39D2">
      <w:pPr>
        <w:spacing w:line="240" w:lineRule="auto"/>
        <w:jc w:val="center"/>
        <w:rPr>
          <w:rStyle w:val="FootnoteReference"/>
          <w:rFonts w:ascii="Times New Roman" w:hAnsi="Times New Roman"/>
          <w:sz w:val="24"/>
          <w:szCs w:val="24"/>
        </w:rPr>
      </w:pPr>
      <w:r w:rsidRPr="00BE39D2">
        <w:rPr>
          <w:rFonts w:ascii="Times New Roman" w:hAnsi="Times New Roman"/>
          <w:b/>
          <w:color w:val="222222"/>
          <w:sz w:val="24"/>
          <w:szCs w:val="24"/>
          <w:shd w:val="clear" w:color="auto" w:fill="FFFFFF"/>
        </w:rPr>
        <w:t>What to Look for when Reviewing NAFTA Renegotiation Objectives</w:t>
      </w:r>
    </w:p>
    <w:p w:rsidR="00315236" w:rsidRPr="00BE39D2" w:rsidRDefault="00315236" w:rsidP="00BE39D2">
      <w:pPr>
        <w:pStyle w:val="NormalWeb"/>
        <w:rPr>
          <w:b/>
          <w:i/>
        </w:rPr>
      </w:pPr>
      <w:r w:rsidRPr="00BE39D2">
        <w:rPr>
          <w:b/>
          <w:i/>
        </w:rPr>
        <w:t>Environment Chapter</w:t>
      </w:r>
    </w:p>
    <w:p w:rsidR="00F916AE" w:rsidRPr="00BE39D2" w:rsidRDefault="00F916AE" w:rsidP="00BE39D2">
      <w:pPr>
        <w:pStyle w:val="NormalWeb"/>
        <w:rPr>
          <w:rStyle w:val="Strong"/>
          <w:b w:val="0"/>
          <w:bCs w:val="0"/>
          <w:color w:val="000000"/>
        </w:rPr>
      </w:pPr>
      <w:r w:rsidRPr="00BE39D2">
        <w:t xml:space="preserve">A </w:t>
      </w:r>
      <w:r w:rsidRPr="00BE39D2">
        <w:rPr>
          <w:color w:val="000000"/>
        </w:rPr>
        <w:t>renegotiated NAFTA is likely to have a largely unenforceable environment chapter similar to what is found in the TPP, opening the way for a rollback of public interest regulations.</w:t>
      </w:r>
      <w:r w:rsidRPr="00BE39D2">
        <w:rPr>
          <w:rStyle w:val="EndnoteReference"/>
          <w:color w:val="000000"/>
        </w:rPr>
        <w:endnoteReference w:id="17"/>
      </w:r>
      <w:r w:rsidRPr="00BE39D2">
        <w:rPr>
          <w:color w:val="000000"/>
        </w:rPr>
        <w:t xml:space="preserve"> Friends of the Earth believes that a new NAFTA must include an environment chapter that is comprehensive and enforceable through dispute resolution.</w:t>
      </w:r>
      <w:r w:rsidRPr="00BE39D2">
        <w:rPr>
          <w:rStyle w:val="EndnoteReference"/>
          <w:color w:val="000000"/>
        </w:rPr>
        <w:endnoteReference w:id="18"/>
      </w:r>
      <w:r w:rsidRPr="00BE39D2">
        <w:rPr>
          <w:b/>
          <w:bCs/>
        </w:rPr>
        <w:t xml:space="preserve"> </w:t>
      </w:r>
      <w:r w:rsidRPr="00BE39D2">
        <w:t xml:space="preserve">It </w:t>
      </w:r>
      <w:r w:rsidRPr="00BE39D2">
        <w:rPr>
          <w:color w:val="000000"/>
        </w:rPr>
        <w:t>must include an obligation for Canada, Mexico, and the U.S. to enforce their domestic environmental laws, including those related to agriculture, food, chemicals, and biotechnology. It also should include an enforceable obligation on the three parties to NAFTA to adhere to a comprehensive list of multilateral environmental agreements, including the Paris Climate Accord.</w:t>
      </w:r>
    </w:p>
    <w:p w:rsidR="00F916AE" w:rsidRPr="00BE39D2" w:rsidRDefault="00F916AE" w:rsidP="00BE39D2">
      <w:pPr>
        <w:keepNext/>
        <w:spacing w:line="240" w:lineRule="auto"/>
        <w:rPr>
          <w:rStyle w:val="Strong"/>
          <w:rFonts w:ascii="Times New Roman" w:hAnsi="Times New Roman"/>
          <w:i/>
          <w:sz w:val="24"/>
          <w:szCs w:val="24"/>
        </w:rPr>
      </w:pPr>
      <w:r w:rsidRPr="00BE39D2">
        <w:rPr>
          <w:rStyle w:val="Strong"/>
          <w:rFonts w:ascii="Times New Roman" w:hAnsi="Times New Roman"/>
          <w:i/>
          <w:sz w:val="24"/>
          <w:szCs w:val="24"/>
        </w:rPr>
        <w:lastRenderedPageBreak/>
        <w:t>Technical Barriers to Trade (TBT)</w:t>
      </w:r>
      <w:r w:rsidR="00315236" w:rsidRPr="00BE39D2">
        <w:rPr>
          <w:rStyle w:val="Strong"/>
          <w:rFonts w:ascii="Times New Roman" w:hAnsi="Times New Roman"/>
          <w:i/>
          <w:sz w:val="24"/>
          <w:szCs w:val="24"/>
        </w:rPr>
        <w:t xml:space="preserve"> Chapter</w:t>
      </w:r>
      <w:r w:rsidR="006B0439" w:rsidRPr="00BE39D2">
        <w:rPr>
          <w:rStyle w:val="Strong"/>
          <w:rFonts w:ascii="Times New Roman" w:hAnsi="Times New Roman"/>
          <w:i/>
          <w:sz w:val="24"/>
          <w:szCs w:val="24"/>
        </w:rPr>
        <w:t xml:space="preserve">   </w:t>
      </w:r>
    </w:p>
    <w:p w:rsidR="00F916AE" w:rsidRPr="00BE39D2" w:rsidRDefault="00F916AE" w:rsidP="00BE39D2">
      <w:pPr>
        <w:spacing w:line="240" w:lineRule="auto"/>
        <w:rPr>
          <w:rFonts w:ascii="Times New Roman" w:hAnsi="Times New Roman"/>
          <w:sz w:val="24"/>
          <w:szCs w:val="24"/>
        </w:rPr>
      </w:pPr>
      <w:r w:rsidRPr="00BE39D2">
        <w:rPr>
          <w:rFonts w:ascii="Times New Roman" w:hAnsi="Times New Roman"/>
          <w:sz w:val="24"/>
          <w:szCs w:val="24"/>
        </w:rPr>
        <w:t>Renegotiation of the TBT chapter of NAFTA on the model of the TPP is likely to expand the legal basis for international suits before NAFTA trade tribunals challenging regulations in North America.</w:t>
      </w:r>
      <w:r w:rsidRPr="00BE39D2">
        <w:rPr>
          <w:rStyle w:val="EndnoteReference"/>
          <w:rFonts w:ascii="Times New Roman" w:hAnsi="Times New Roman"/>
          <w:sz w:val="24"/>
          <w:szCs w:val="24"/>
        </w:rPr>
        <w:endnoteReference w:id="19"/>
      </w:r>
      <w:r w:rsidRPr="00BE39D2">
        <w:rPr>
          <w:rFonts w:ascii="Times New Roman" w:hAnsi="Times New Roman"/>
          <w:sz w:val="24"/>
          <w:szCs w:val="24"/>
        </w:rPr>
        <w:t xml:space="preserve"> As a result, the new NAFTA could </w:t>
      </w:r>
      <w:r w:rsidR="006B0439" w:rsidRPr="00BE39D2">
        <w:rPr>
          <w:rFonts w:ascii="Times New Roman" w:hAnsi="Times New Roman"/>
          <w:sz w:val="24"/>
          <w:szCs w:val="24"/>
        </w:rPr>
        <w:t>forc</w:t>
      </w:r>
      <w:r w:rsidRPr="00BE39D2">
        <w:rPr>
          <w:rFonts w:ascii="Times New Roman" w:hAnsi="Times New Roman"/>
          <w:sz w:val="24"/>
          <w:szCs w:val="24"/>
        </w:rPr>
        <w:t>e the rollback of effective chemical regulations in some U.S. states</w:t>
      </w:r>
      <w:r w:rsidR="003C7220" w:rsidRPr="00BE39D2">
        <w:rPr>
          <w:rFonts w:ascii="Times New Roman" w:hAnsi="Times New Roman"/>
          <w:sz w:val="24"/>
          <w:szCs w:val="24"/>
        </w:rPr>
        <w:t xml:space="preserve"> such as California’s Green Chemistry initiative</w:t>
      </w:r>
      <w:r w:rsidR="00881221" w:rsidRPr="00BE39D2">
        <w:rPr>
          <w:rStyle w:val="EndnoteReference"/>
          <w:rFonts w:ascii="Times New Roman" w:hAnsi="Times New Roman"/>
          <w:sz w:val="24"/>
          <w:szCs w:val="24"/>
        </w:rPr>
        <w:endnoteReference w:id="20"/>
      </w:r>
      <w:r w:rsidRPr="00BE39D2">
        <w:rPr>
          <w:rFonts w:ascii="Times New Roman" w:hAnsi="Times New Roman"/>
          <w:sz w:val="24"/>
          <w:szCs w:val="24"/>
        </w:rPr>
        <w:t xml:space="preserve"> and preclude future, more effective U.S. federal regulation of dangerous chemicals associated with breast cancer, autism, infertility, and other illnesses.</w:t>
      </w:r>
    </w:p>
    <w:p w:rsidR="00F916AE" w:rsidRPr="00BE39D2" w:rsidRDefault="009B133B" w:rsidP="00BE39D2">
      <w:pPr>
        <w:spacing w:line="240" w:lineRule="auto"/>
        <w:rPr>
          <w:rFonts w:ascii="Times New Roman" w:hAnsi="Times New Roman"/>
          <w:sz w:val="24"/>
          <w:szCs w:val="24"/>
        </w:rPr>
      </w:pPr>
      <w:r w:rsidRPr="00BE39D2">
        <w:rPr>
          <w:rFonts w:ascii="Times New Roman" w:hAnsi="Times New Roman"/>
          <w:sz w:val="24"/>
          <w:szCs w:val="24"/>
        </w:rPr>
        <w:t>NAFTA renegotiation could thwart efforts to stop the use of bee-killing neonicotinoid (neonic) pesticides, which are a leading cause of bee declines.</w:t>
      </w:r>
      <w:r w:rsidRPr="00BE39D2">
        <w:rPr>
          <w:rStyle w:val="EndnoteReference"/>
          <w:rFonts w:ascii="Times New Roman" w:hAnsi="Times New Roman"/>
          <w:sz w:val="24"/>
          <w:szCs w:val="24"/>
        </w:rPr>
        <w:endnoteReference w:id="21"/>
      </w:r>
      <w:r w:rsidR="00320FFA" w:rsidRPr="00BE39D2">
        <w:rPr>
          <w:rFonts w:ascii="Times New Roman" w:hAnsi="Times New Roman"/>
          <w:sz w:val="24"/>
          <w:szCs w:val="24"/>
        </w:rPr>
        <w:t xml:space="preserve"> </w:t>
      </w:r>
      <w:r w:rsidR="00F916AE" w:rsidRPr="00BE39D2">
        <w:rPr>
          <w:rFonts w:ascii="Times New Roman" w:hAnsi="Times New Roman"/>
          <w:sz w:val="24"/>
          <w:szCs w:val="24"/>
        </w:rPr>
        <w:t xml:space="preserve">The new NAFTA could </w:t>
      </w:r>
      <w:r w:rsidR="006B0439" w:rsidRPr="00BE39D2">
        <w:rPr>
          <w:rFonts w:ascii="Times New Roman" w:hAnsi="Times New Roman"/>
          <w:sz w:val="24"/>
          <w:szCs w:val="24"/>
        </w:rPr>
        <w:t>st</w:t>
      </w:r>
      <w:r w:rsidR="00F916AE" w:rsidRPr="00BE39D2">
        <w:rPr>
          <w:rFonts w:ascii="Times New Roman" w:hAnsi="Times New Roman"/>
          <w:sz w:val="24"/>
          <w:szCs w:val="24"/>
        </w:rPr>
        <w:t xml:space="preserve">op future </w:t>
      </w:r>
      <w:r w:rsidR="002A048E" w:rsidRPr="00BE39D2">
        <w:rPr>
          <w:rFonts w:ascii="Times New Roman" w:hAnsi="Times New Roman"/>
          <w:sz w:val="24"/>
          <w:szCs w:val="24"/>
        </w:rPr>
        <w:t xml:space="preserve">national </w:t>
      </w:r>
      <w:r w:rsidR="00F916AE" w:rsidRPr="00BE39D2">
        <w:rPr>
          <w:rFonts w:ascii="Times New Roman" w:hAnsi="Times New Roman"/>
          <w:sz w:val="24"/>
          <w:szCs w:val="24"/>
        </w:rPr>
        <w:t xml:space="preserve">action to save pollinators and the crops that depend on pollinators. </w:t>
      </w:r>
      <w:r w:rsidRPr="00BE39D2">
        <w:rPr>
          <w:rFonts w:ascii="Times New Roman" w:hAnsi="Times New Roman"/>
          <w:sz w:val="24"/>
          <w:szCs w:val="24"/>
        </w:rPr>
        <w:t xml:space="preserve">It might also undercut </w:t>
      </w:r>
      <w:r w:rsidR="002A048E" w:rsidRPr="00BE39D2">
        <w:rPr>
          <w:rFonts w:ascii="Times New Roman" w:hAnsi="Times New Roman"/>
          <w:sz w:val="24"/>
          <w:szCs w:val="24"/>
        </w:rPr>
        <w:t>more limited</w:t>
      </w:r>
      <w:r w:rsidRPr="00BE39D2">
        <w:rPr>
          <w:rFonts w:ascii="Times New Roman" w:hAnsi="Times New Roman"/>
          <w:sz w:val="24"/>
          <w:szCs w:val="24"/>
        </w:rPr>
        <w:t xml:space="preserve"> state and local initiatives, like Minnesota Governor Mark Dayton’s executive order restricting the use of neonic pesticides.</w:t>
      </w:r>
      <w:r w:rsidR="00BD6270" w:rsidRPr="00BE39D2">
        <w:rPr>
          <w:rStyle w:val="EndnoteReference"/>
          <w:rFonts w:ascii="Times New Roman" w:hAnsi="Times New Roman"/>
          <w:sz w:val="24"/>
          <w:szCs w:val="24"/>
        </w:rPr>
        <w:endnoteReference w:id="22"/>
      </w:r>
    </w:p>
    <w:p w:rsidR="00F916AE" w:rsidRPr="00BE39D2" w:rsidRDefault="00F916AE" w:rsidP="00BE39D2">
      <w:pPr>
        <w:spacing w:line="240" w:lineRule="auto"/>
        <w:rPr>
          <w:rFonts w:ascii="Times New Roman" w:hAnsi="Times New Roman"/>
          <w:sz w:val="24"/>
          <w:szCs w:val="24"/>
        </w:rPr>
      </w:pPr>
      <w:r w:rsidRPr="00BE39D2">
        <w:rPr>
          <w:rFonts w:ascii="Times New Roman" w:hAnsi="Times New Roman"/>
          <w:sz w:val="24"/>
          <w:szCs w:val="24"/>
        </w:rPr>
        <w:t xml:space="preserve">TBT provisions in the new NAFTA will also likely </w:t>
      </w:r>
      <w:r w:rsidR="006B0439" w:rsidRPr="00BE39D2">
        <w:rPr>
          <w:rFonts w:ascii="Times New Roman" w:hAnsi="Times New Roman"/>
          <w:sz w:val="24"/>
          <w:szCs w:val="24"/>
        </w:rPr>
        <w:t>u</w:t>
      </w:r>
      <w:r w:rsidRPr="00BE39D2">
        <w:rPr>
          <w:rFonts w:ascii="Times New Roman" w:hAnsi="Times New Roman"/>
          <w:sz w:val="24"/>
          <w:szCs w:val="24"/>
        </w:rPr>
        <w:t>nde</w:t>
      </w:r>
      <w:r w:rsidR="006B0439" w:rsidRPr="00BE39D2">
        <w:rPr>
          <w:rFonts w:ascii="Times New Roman" w:hAnsi="Times New Roman"/>
          <w:sz w:val="24"/>
          <w:szCs w:val="24"/>
        </w:rPr>
        <w:t>rcut</w:t>
      </w:r>
      <w:r w:rsidRPr="00BE39D2">
        <w:rPr>
          <w:rFonts w:ascii="Times New Roman" w:hAnsi="Times New Roman"/>
          <w:sz w:val="24"/>
          <w:szCs w:val="24"/>
        </w:rPr>
        <w:t xml:space="preserve"> food-labeling standards, putting GMO labeli</w:t>
      </w:r>
      <w:r w:rsidR="0054200F" w:rsidRPr="00BE39D2">
        <w:rPr>
          <w:rFonts w:ascii="Times New Roman" w:hAnsi="Times New Roman"/>
          <w:sz w:val="24"/>
          <w:szCs w:val="24"/>
        </w:rPr>
        <w:t>ng requirements in Vermont and other states</w:t>
      </w:r>
      <w:r w:rsidRPr="00BE39D2">
        <w:rPr>
          <w:rFonts w:ascii="Times New Roman" w:hAnsi="Times New Roman"/>
          <w:sz w:val="24"/>
          <w:szCs w:val="24"/>
        </w:rPr>
        <w:t xml:space="preserve"> at risk.</w:t>
      </w:r>
      <w:r w:rsidR="00083891" w:rsidRPr="00BE39D2">
        <w:rPr>
          <w:rStyle w:val="EndnoteReference"/>
          <w:rFonts w:ascii="Times New Roman" w:hAnsi="Times New Roman"/>
          <w:sz w:val="24"/>
          <w:szCs w:val="24"/>
        </w:rPr>
        <w:endnoteReference w:id="23"/>
      </w:r>
      <w:r w:rsidRPr="00BE39D2">
        <w:rPr>
          <w:rFonts w:ascii="Times New Roman" w:hAnsi="Times New Roman"/>
          <w:sz w:val="24"/>
          <w:szCs w:val="24"/>
        </w:rPr>
        <w:t xml:space="preserve"> Global corporations are likely to use a new NAFTA to further undercut consumers’ right to know what is in their food and whether their food is produced in a humane manner protective of animal welfare.</w:t>
      </w:r>
    </w:p>
    <w:p w:rsidR="00F916AE" w:rsidRPr="00BE39D2" w:rsidRDefault="00F916AE" w:rsidP="00BE39D2">
      <w:pPr>
        <w:spacing w:line="240" w:lineRule="auto"/>
        <w:rPr>
          <w:rFonts w:ascii="Times New Roman" w:hAnsi="Times New Roman"/>
          <w:sz w:val="24"/>
          <w:szCs w:val="24"/>
        </w:rPr>
      </w:pPr>
      <w:r w:rsidRPr="00BE39D2">
        <w:rPr>
          <w:rFonts w:ascii="Times New Roman" w:hAnsi="Times New Roman"/>
          <w:sz w:val="24"/>
          <w:szCs w:val="24"/>
        </w:rPr>
        <w:t xml:space="preserve">The goal of global corporations is to include “TBT-plus” provisions </w:t>
      </w:r>
      <w:r w:rsidR="00AF3E01" w:rsidRPr="00BE39D2">
        <w:rPr>
          <w:rFonts w:ascii="Times New Roman" w:hAnsi="Times New Roman"/>
          <w:sz w:val="24"/>
          <w:szCs w:val="24"/>
        </w:rPr>
        <w:t xml:space="preserve">in NAFTA </w:t>
      </w:r>
      <w:r w:rsidRPr="00BE39D2">
        <w:rPr>
          <w:rFonts w:ascii="Times New Roman" w:hAnsi="Times New Roman"/>
          <w:sz w:val="24"/>
          <w:szCs w:val="24"/>
        </w:rPr>
        <w:t xml:space="preserve">that are </w:t>
      </w:r>
      <w:r w:rsidR="00AF3E01" w:rsidRPr="00BE39D2">
        <w:rPr>
          <w:rFonts w:ascii="Times New Roman" w:hAnsi="Times New Roman"/>
          <w:sz w:val="24"/>
          <w:szCs w:val="24"/>
        </w:rPr>
        <w:t xml:space="preserve">even </w:t>
      </w:r>
      <w:r w:rsidRPr="00BE39D2">
        <w:rPr>
          <w:rFonts w:ascii="Times New Roman" w:hAnsi="Times New Roman"/>
          <w:sz w:val="24"/>
          <w:szCs w:val="24"/>
        </w:rPr>
        <w:t>more restrictive of protective regulat</w:t>
      </w:r>
      <w:r w:rsidR="00AF3E01" w:rsidRPr="00BE39D2">
        <w:rPr>
          <w:rFonts w:ascii="Times New Roman" w:hAnsi="Times New Roman"/>
          <w:sz w:val="24"/>
          <w:szCs w:val="24"/>
        </w:rPr>
        <w:t>ions than the tough standards in</w:t>
      </w:r>
      <w:r w:rsidRPr="00BE39D2">
        <w:rPr>
          <w:rFonts w:ascii="Times New Roman" w:hAnsi="Times New Roman"/>
          <w:sz w:val="24"/>
          <w:szCs w:val="24"/>
        </w:rPr>
        <w:t xml:space="preserve"> the current NAFTA agreement as well as harsh World Trade Organization (WTO) standards related to technical barriers to trade. The WTO TBT standards, for example, were in part the basis for an international tribunal ruling in a case brought by </w:t>
      </w:r>
      <w:r w:rsidR="00EB634A" w:rsidRPr="00BE39D2">
        <w:rPr>
          <w:rFonts w:ascii="Times New Roman" w:hAnsi="Times New Roman"/>
          <w:sz w:val="24"/>
          <w:szCs w:val="24"/>
        </w:rPr>
        <w:t>Mexico, which</w:t>
      </w:r>
      <w:r w:rsidRPr="00BE39D2">
        <w:rPr>
          <w:rFonts w:ascii="Times New Roman" w:hAnsi="Times New Roman"/>
          <w:sz w:val="24"/>
          <w:szCs w:val="24"/>
        </w:rPr>
        <w:t xml:space="preserve"> concluded</w:t>
      </w:r>
      <w:r w:rsidR="006B0439" w:rsidRPr="00BE39D2">
        <w:rPr>
          <w:rFonts w:ascii="Times New Roman" w:hAnsi="Times New Roman"/>
          <w:sz w:val="24"/>
          <w:szCs w:val="24"/>
        </w:rPr>
        <w:t xml:space="preserve"> </w:t>
      </w:r>
      <w:r w:rsidRPr="00BE39D2">
        <w:rPr>
          <w:rFonts w:ascii="Times New Roman" w:hAnsi="Times New Roman"/>
          <w:sz w:val="24"/>
          <w:szCs w:val="24"/>
        </w:rPr>
        <w:t xml:space="preserve">that the voluntary U.S. dolphin-safe tuna </w:t>
      </w:r>
      <w:r w:rsidR="00EB634A" w:rsidRPr="00BE39D2">
        <w:rPr>
          <w:rFonts w:ascii="Times New Roman" w:hAnsi="Times New Roman"/>
          <w:sz w:val="24"/>
          <w:szCs w:val="24"/>
        </w:rPr>
        <w:t>product-labeling</w:t>
      </w:r>
      <w:r w:rsidRPr="00BE39D2">
        <w:rPr>
          <w:rFonts w:ascii="Times New Roman" w:hAnsi="Times New Roman"/>
          <w:sz w:val="24"/>
          <w:szCs w:val="24"/>
        </w:rPr>
        <w:t xml:space="preserve"> standard violated international trade law.</w:t>
      </w:r>
      <w:r w:rsidR="00A061B1" w:rsidRPr="00BE39D2">
        <w:rPr>
          <w:rStyle w:val="EndnoteReference"/>
          <w:rFonts w:ascii="Times New Roman" w:hAnsi="Times New Roman"/>
          <w:sz w:val="24"/>
          <w:szCs w:val="24"/>
        </w:rPr>
        <w:endnoteReference w:id="24"/>
      </w:r>
      <w:r w:rsidR="00AF3E01" w:rsidRPr="00BE39D2">
        <w:rPr>
          <w:rFonts w:ascii="Times New Roman" w:hAnsi="Times New Roman"/>
          <w:sz w:val="24"/>
          <w:szCs w:val="24"/>
        </w:rPr>
        <w:t xml:space="preserve"> A renegotiated NAFTA chapter on technical barriers to trade promises to be even worse tha</w:t>
      </w:r>
      <w:r w:rsidR="00320FFA" w:rsidRPr="00BE39D2">
        <w:rPr>
          <w:rFonts w:ascii="Times New Roman" w:hAnsi="Times New Roman"/>
          <w:sz w:val="24"/>
          <w:szCs w:val="24"/>
        </w:rPr>
        <w:t>n</w:t>
      </w:r>
      <w:r w:rsidR="00AF3E01" w:rsidRPr="00BE39D2">
        <w:rPr>
          <w:rFonts w:ascii="Times New Roman" w:hAnsi="Times New Roman"/>
          <w:sz w:val="24"/>
          <w:szCs w:val="24"/>
        </w:rPr>
        <w:t xml:space="preserve"> the </w:t>
      </w:r>
      <w:r w:rsidR="00A061B1" w:rsidRPr="00BE39D2">
        <w:rPr>
          <w:rFonts w:ascii="Times New Roman" w:hAnsi="Times New Roman"/>
          <w:sz w:val="24"/>
          <w:szCs w:val="24"/>
        </w:rPr>
        <w:t xml:space="preserve">very bad </w:t>
      </w:r>
      <w:r w:rsidR="00AF3E01" w:rsidRPr="00BE39D2">
        <w:rPr>
          <w:rFonts w:ascii="Times New Roman" w:hAnsi="Times New Roman"/>
          <w:sz w:val="24"/>
          <w:szCs w:val="24"/>
        </w:rPr>
        <w:t>WTO and current NAFTA</w:t>
      </w:r>
      <w:r w:rsidR="00A061B1" w:rsidRPr="00BE39D2">
        <w:rPr>
          <w:rFonts w:ascii="Times New Roman" w:hAnsi="Times New Roman"/>
          <w:sz w:val="24"/>
          <w:szCs w:val="24"/>
        </w:rPr>
        <w:t xml:space="preserve"> agreements</w:t>
      </w:r>
      <w:r w:rsidR="00AF3E01" w:rsidRPr="00BE39D2">
        <w:rPr>
          <w:rFonts w:ascii="Times New Roman" w:hAnsi="Times New Roman"/>
          <w:sz w:val="24"/>
          <w:szCs w:val="24"/>
        </w:rPr>
        <w:t>.</w:t>
      </w:r>
    </w:p>
    <w:p w:rsidR="00F916AE" w:rsidRPr="00BE39D2" w:rsidRDefault="00F916AE" w:rsidP="00BE39D2">
      <w:pPr>
        <w:spacing w:before="100" w:beforeAutospacing="1" w:after="100" w:afterAutospacing="1" w:line="240" w:lineRule="auto"/>
        <w:rPr>
          <w:rStyle w:val="Strong"/>
          <w:rFonts w:ascii="Times New Roman" w:hAnsi="Times New Roman"/>
          <w:i/>
          <w:sz w:val="24"/>
          <w:szCs w:val="24"/>
        </w:rPr>
      </w:pPr>
      <w:r w:rsidRPr="00BE39D2">
        <w:rPr>
          <w:rStyle w:val="Strong"/>
          <w:rFonts w:ascii="Times New Roman" w:hAnsi="Times New Roman"/>
          <w:i/>
          <w:sz w:val="24"/>
          <w:szCs w:val="24"/>
        </w:rPr>
        <w:t>Sanitary and Phyto</w:t>
      </w:r>
      <w:r w:rsidR="005C7B6E" w:rsidRPr="00BE39D2">
        <w:rPr>
          <w:rStyle w:val="Strong"/>
          <w:rFonts w:ascii="Times New Roman" w:hAnsi="Times New Roman"/>
          <w:i/>
          <w:sz w:val="24"/>
          <w:szCs w:val="24"/>
        </w:rPr>
        <w:t>s</w:t>
      </w:r>
      <w:r w:rsidRPr="00BE39D2">
        <w:rPr>
          <w:rStyle w:val="Strong"/>
          <w:rFonts w:ascii="Times New Roman" w:hAnsi="Times New Roman"/>
          <w:i/>
          <w:sz w:val="24"/>
          <w:szCs w:val="24"/>
        </w:rPr>
        <w:t>anitary (SPS) Measures</w:t>
      </w:r>
      <w:r w:rsidR="004910DF" w:rsidRPr="00BE39D2">
        <w:rPr>
          <w:rStyle w:val="Strong"/>
          <w:rFonts w:ascii="Times New Roman" w:hAnsi="Times New Roman"/>
          <w:i/>
          <w:sz w:val="24"/>
          <w:szCs w:val="24"/>
        </w:rPr>
        <w:t xml:space="preserve"> Chapter</w:t>
      </w:r>
    </w:p>
    <w:p w:rsidR="00D60096" w:rsidRPr="00BE39D2" w:rsidRDefault="00F916AE" w:rsidP="00BE39D2">
      <w:pPr>
        <w:spacing w:before="100" w:beforeAutospacing="1" w:after="100" w:afterAutospacing="1" w:line="240" w:lineRule="auto"/>
        <w:rPr>
          <w:rFonts w:ascii="Times New Roman" w:hAnsi="Times New Roman"/>
          <w:sz w:val="24"/>
          <w:szCs w:val="24"/>
        </w:rPr>
      </w:pPr>
      <w:r w:rsidRPr="00BE39D2">
        <w:rPr>
          <w:rFonts w:ascii="Times New Roman" w:hAnsi="Times New Roman"/>
          <w:sz w:val="24"/>
          <w:szCs w:val="24"/>
        </w:rPr>
        <w:t xml:space="preserve">Friends of the Earth is concerned that provisions in a renegotiated NAFTA will make it even easier to challenge food safety and animal welfare safeguards. These fall into the categories of sanitary measures related to food safety, such as bacterial contamination, and phytosanitary measures related to animal and plant health, such as animal diseases. The goal of global corporations is to include “SPS-plus” provisions that are more restrictive of protective regulations than the tough restrictions in the old NAFTA agreement as well as overbroad World Trade Organization standards. </w:t>
      </w:r>
      <w:r w:rsidR="00F7399F" w:rsidRPr="00BE39D2">
        <w:rPr>
          <w:rFonts w:ascii="Times New Roman" w:hAnsi="Times New Roman"/>
          <w:sz w:val="24"/>
          <w:szCs w:val="24"/>
        </w:rPr>
        <w:t>NAFTA and the WTO are</w:t>
      </w:r>
      <w:r w:rsidR="00E92570" w:rsidRPr="00BE39D2">
        <w:rPr>
          <w:rFonts w:ascii="Times New Roman" w:hAnsi="Times New Roman"/>
          <w:sz w:val="24"/>
          <w:szCs w:val="24"/>
        </w:rPr>
        <w:t xml:space="preserve"> already</w:t>
      </w:r>
      <w:r w:rsidR="00F7399F" w:rsidRPr="00BE39D2">
        <w:rPr>
          <w:rFonts w:ascii="Times New Roman" w:hAnsi="Times New Roman"/>
          <w:sz w:val="24"/>
          <w:szCs w:val="24"/>
        </w:rPr>
        <w:t xml:space="preserve"> a threat to food safety and animal welfare</w:t>
      </w:r>
      <w:r w:rsidR="00E92570" w:rsidRPr="00BE39D2">
        <w:rPr>
          <w:rFonts w:ascii="Times New Roman" w:hAnsi="Times New Roman"/>
          <w:sz w:val="24"/>
          <w:szCs w:val="24"/>
        </w:rPr>
        <w:t>,</w:t>
      </w:r>
      <w:r w:rsidR="00F7399F" w:rsidRPr="00BE39D2">
        <w:rPr>
          <w:rFonts w:ascii="Times New Roman" w:hAnsi="Times New Roman"/>
          <w:sz w:val="24"/>
          <w:szCs w:val="24"/>
        </w:rPr>
        <w:t xml:space="preserve"> but a renegotiated NAFTA could very well be an even bigger threat.</w:t>
      </w:r>
      <w:r w:rsidR="00324DEE" w:rsidRPr="00BE39D2">
        <w:rPr>
          <w:rStyle w:val="EndnoteReference"/>
          <w:rFonts w:ascii="Times New Roman" w:hAnsi="Times New Roman"/>
          <w:sz w:val="24"/>
          <w:szCs w:val="24"/>
        </w:rPr>
        <w:endnoteReference w:id="25"/>
      </w:r>
    </w:p>
    <w:p w:rsidR="00B43EA5" w:rsidRPr="00BE39D2" w:rsidRDefault="00B43EA5" w:rsidP="00BE39D2">
      <w:pPr>
        <w:spacing w:before="100" w:beforeAutospacing="1" w:after="100" w:afterAutospacing="1" w:line="240" w:lineRule="auto"/>
        <w:rPr>
          <w:rFonts w:ascii="Times New Roman" w:hAnsi="Times New Roman"/>
          <w:sz w:val="24"/>
          <w:szCs w:val="24"/>
        </w:rPr>
      </w:pPr>
      <w:r w:rsidRPr="00BE39D2">
        <w:rPr>
          <w:rFonts w:ascii="Times New Roman" w:hAnsi="Times New Roman"/>
          <w:sz w:val="24"/>
          <w:szCs w:val="24"/>
        </w:rPr>
        <w:t>A renegotiated NAFTA</w:t>
      </w:r>
      <w:r w:rsidR="00E92570" w:rsidRPr="00BE39D2">
        <w:rPr>
          <w:rFonts w:ascii="Times New Roman" w:hAnsi="Times New Roman"/>
          <w:sz w:val="24"/>
          <w:szCs w:val="24"/>
        </w:rPr>
        <w:t>,</w:t>
      </w:r>
      <w:r w:rsidRPr="00BE39D2">
        <w:rPr>
          <w:rFonts w:ascii="Times New Roman" w:hAnsi="Times New Roman"/>
          <w:sz w:val="24"/>
          <w:szCs w:val="24"/>
        </w:rPr>
        <w:t xml:space="preserve"> like the TPP</w:t>
      </w:r>
      <w:r w:rsidR="00E92570" w:rsidRPr="00BE39D2">
        <w:rPr>
          <w:rFonts w:ascii="Times New Roman" w:hAnsi="Times New Roman"/>
          <w:sz w:val="24"/>
          <w:szCs w:val="24"/>
        </w:rPr>
        <w:t>,</w:t>
      </w:r>
      <w:r w:rsidRPr="00BE39D2">
        <w:rPr>
          <w:rFonts w:ascii="Times New Roman" w:hAnsi="Times New Roman"/>
          <w:sz w:val="24"/>
          <w:szCs w:val="24"/>
        </w:rPr>
        <w:t xml:space="preserve"> is likely to put food safety protections at risk by authorizing more industry legal attacks on food safety standards before corporate dominated trade </w:t>
      </w:r>
      <w:r w:rsidR="005F3575" w:rsidRPr="00BE39D2">
        <w:rPr>
          <w:rFonts w:ascii="Times New Roman" w:hAnsi="Times New Roman"/>
          <w:sz w:val="24"/>
          <w:szCs w:val="24"/>
        </w:rPr>
        <w:t xml:space="preserve">tribunals. </w:t>
      </w:r>
      <w:r w:rsidR="00E92570" w:rsidRPr="00BE39D2">
        <w:rPr>
          <w:rFonts w:ascii="Times New Roman" w:hAnsi="Times New Roman"/>
          <w:sz w:val="24"/>
          <w:szCs w:val="24"/>
        </w:rPr>
        <w:t>Furthermore</w:t>
      </w:r>
      <w:r w:rsidR="005F3575" w:rsidRPr="00BE39D2">
        <w:rPr>
          <w:rFonts w:ascii="Times New Roman" w:hAnsi="Times New Roman"/>
          <w:sz w:val="24"/>
          <w:szCs w:val="24"/>
        </w:rPr>
        <w:t>, it might very well follow the TPP model to give foreign food exporters greater powers to challenge border inspections and substitute private food safety certifications for government inspections in many cases.</w:t>
      </w:r>
      <w:r w:rsidR="00BF0D1E" w:rsidRPr="00BE39D2">
        <w:rPr>
          <w:rStyle w:val="EndnoteReference"/>
          <w:rFonts w:ascii="Times New Roman" w:hAnsi="Times New Roman"/>
          <w:sz w:val="24"/>
          <w:szCs w:val="24"/>
        </w:rPr>
        <w:endnoteReference w:id="26"/>
      </w:r>
    </w:p>
    <w:p w:rsidR="00F916AE" w:rsidRPr="00BE39D2" w:rsidRDefault="00F916AE" w:rsidP="00BE39D2">
      <w:pPr>
        <w:keepNext/>
        <w:spacing w:before="100" w:beforeAutospacing="1" w:after="100" w:afterAutospacing="1" w:line="240" w:lineRule="auto"/>
        <w:rPr>
          <w:rStyle w:val="Strong"/>
          <w:rFonts w:ascii="Times New Roman" w:hAnsi="Times New Roman"/>
          <w:i/>
          <w:sz w:val="24"/>
          <w:szCs w:val="24"/>
        </w:rPr>
      </w:pPr>
      <w:r w:rsidRPr="00BE39D2">
        <w:rPr>
          <w:rStyle w:val="Strong"/>
          <w:rFonts w:ascii="Times New Roman" w:hAnsi="Times New Roman"/>
          <w:i/>
          <w:sz w:val="24"/>
          <w:szCs w:val="24"/>
        </w:rPr>
        <w:lastRenderedPageBreak/>
        <w:t>Regulatory Review and Intellectual Property Rights</w:t>
      </w:r>
      <w:r w:rsidR="004F3C67" w:rsidRPr="00BE39D2">
        <w:rPr>
          <w:rStyle w:val="Strong"/>
          <w:rFonts w:ascii="Times New Roman" w:hAnsi="Times New Roman"/>
          <w:i/>
          <w:sz w:val="24"/>
          <w:szCs w:val="24"/>
        </w:rPr>
        <w:t xml:space="preserve"> Chapters</w:t>
      </w:r>
    </w:p>
    <w:p w:rsidR="00F916AE" w:rsidRPr="00BE39D2" w:rsidRDefault="00F916AE" w:rsidP="00BE39D2">
      <w:pPr>
        <w:spacing w:before="100" w:beforeAutospacing="1" w:after="100" w:afterAutospacing="1" w:line="240" w:lineRule="auto"/>
        <w:rPr>
          <w:rFonts w:ascii="Times New Roman" w:eastAsia="Times New Roman" w:hAnsi="Times New Roman"/>
          <w:sz w:val="24"/>
          <w:szCs w:val="24"/>
        </w:rPr>
      </w:pPr>
      <w:r w:rsidRPr="00BE39D2">
        <w:rPr>
          <w:rStyle w:val="Strong"/>
          <w:rFonts w:ascii="Times New Roman" w:hAnsi="Times New Roman"/>
          <w:b w:val="0"/>
          <w:sz w:val="24"/>
          <w:szCs w:val="24"/>
        </w:rPr>
        <w:t xml:space="preserve">Negotiating objectives related to intellectual property and </w:t>
      </w:r>
      <w:r w:rsidRPr="00BE39D2">
        <w:rPr>
          <w:rFonts w:ascii="Times New Roman" w:hAnsi="Times New Roman"/>
          <w:bCs/>
          <w:sz w:val="24"/>
          <w:szCs w:val="24"/>
        </w:rPr>
        <w:t>regulatory review s</w:t>
      </w:r>
      <w:r w:rsidRPr="00BE39D2">
        <w:rPr>
          <w:rStyle w:val="Strong"/>
          <w:rFonts w:ascii="Times New Roman" w:hAnsi="Times New Roman"/>
          <w:b w:val="0"/>
          <w:sz w:val="24"/>
          <w:szCs w:val="24"/>
        </w:rPr>
        <w:t>hould be examined to determine the potential impact</w:t>
      </w:r>
      <w:r w:rsidRPr="00BE39D2">
        <w:rPr>
          <w:rFonts w:ascii="Times New Roman" w:hAnsi="Times New Roman"/>
          <w:bCs/>
          <w:sz w:val="24"/>
          <w:szCs w:val="24"/>
        </w:rPr>
        <w:t xml:space="preserve"> on </w:t>
      </w:r>
      <w:r w:rsidRPr="00BE39D2">
        <w:rPr>
          <w:rFonts w:ascii="Times New Roman" w:hAnsi="Times New Roman"/>
          <w:sz w:val="24"/>
          <w:szCs w:val="24"/>
        </w:rPr>
        <w:t>food, agriculture, chemical, and biotechnology regulations as well as environmental and climate measures generally.</w:t>
      </w:r>
      <w:r w:rsidRPr="00BE39D2">
        <w:rPr>
          <w:rStyle w:val="EndnoteReference"/>
          <w:rFonts w:ascii="Times New Roman" w:hAnsi="Times New Roman"/>
          <w:sz w:val="24"/>
          <w:szCs w:val="24"/>
        </w:rPr>
        <w:endnoteReference w:id="27"/>
      </w:r>
      <w:r w:rsidRPr="00BE39D2">
        <w:rPr>
          <w:rFonts w:ascii="Times New Roman" w:hAnsi="Times New Roman"/>
          <w:sz w:val="24"/>
          <w:szCs w:val="24"/>
        </w:rPr>
        <w:t xml:space="preserve"> The </w:t>
      </w:r>
      <w:r w:rsidRPr="00BE39D2">
        <w:rPr>
          <w:rFonts w:ascii="Times New Roman" w:eastAsia="Times New Roman" w:hAnsi="Times New Roman"/>
          <w:sz w:val="24"/>
          <w:szCs w:val="24"/>
        </w:rPr>
        <w:t>regulatory review provisions in Trump’s NAFTA are likely to encourage regulatory impact assessments based on the inappropriate use of cost-benefit analysis.</w:t>
      </w:r>
      <w:r w:rsidRPr="00BE39D2">
        <w:rPr>
          <w:rStyle w:val="EndnoteReference"/>
          <w:rFonts w:ascii="Times New Roman" w:eastAsia="Times New Roman" w:hAnsi="Times New Roman"/>
          <w:sz w:val="24"/>
          <w:szCs w:val="24"/>
        </w:rPr>
        <w:endnoteReference w:id="28"/>
      </w:r>
      <w:r w:rsidRPr="00BE39D2">
        <w:rPr>
          <w:rFonts w:ascii="Times New Roman" w:eastAsia="Times New Roman" w:hAnsi="Times New Roman"/>
          <w:sz w:val="24"/>
          <w:szCs w:val="24"/>
        </w:rPr>
        <w:t xml:space="preserve"> This would stymie the promulgation of new and improved environmental and public health regulations.</w:t>
      </w:r>
      <w:r w:rsidRPr="00BE39D2">
        <w:rPr>
          <w:rStyle w:val="EndnoteReference"/>
          <w:rFonts w:ascii="Times New Roman" w:eastAsia="Times New Roman" w:hAnsi="Times New Roman"/>
          <w:sz w:val="24"/>
          <w:szCs w:val="24"/>
        </w:rPr>
        <w:endnoteReference w:id="29"/>
      </w:r>
      <w:r w:rsidRPr="00BE39D2">
        <w:rPr>
          <w:rFonts w:ascii="Times New Roman" w:eastAsia="Times New Roman" w:hAnsi="Times New Roman"/>
          <w:sz w:val="24"/>
          <w:szCs w:val="24"/>
        </w:rPr>
        <w:t xml:space="preserve"> Regulatory review provisions are also likely to establish committees of trade bureaucrats and industry representatives empowered to review and stymie new regulations before they can be formerly proposed to the public.</w:t>
      </w:r>
    </w:p>
    <w:p w:rsidR="00F916AE" w:rsidRPr="00BE39D2" w:rsidRDefault="00F916AE" w:rsidP="00BE39D2">
      <w:pPr>
        <w:spacing w:line="240" w:lineRule="auto"/>
        <w:rPr>
          <w:rFonts w:ascii="Times New Roman" w:eastAsiaTheme="minorHAnsi" w:hAnsi="Times New Roman"/>
          <w:sz w:val="24"/>
          <w:szCs w:val="24"/>
        </w:rPr>
      </w:pPr>
      <w:r w:rsidRPr="00BE39D2">
        <w:rPr>
          <w:rFonts w:ascii="Times New Roman" w:hAnsi="Times New Roman"/>
          <w:sz w:val="24"/>
          <w:szCs w:val="24"/>
        </w:rPr>
        <w:t>A renegotiated NAFTA is also likely to provide new protections for biotechnology and the use of genetically modified organisms</w:t>
      </w:r>
      <w:r w:rsidR="00E92570" w:rsidRPr="00BE39D2">
        <w:rPr>
          <w:rFonts w:ascii="Times New Roman" w:hAnsi="Times New Roman"/>
          <w:sz w:val="24"/>
          <w:szCs w:val="24"/>
        </w:rPr>
        <w:t xml:space="preserve"> (GMOs)</w:t>
      </w:r>
      <w:r w:rsidRPr="00BE39D2">
        <w:rPr>
          <w:rFonts w:ascii="Times New Roman" w:hAnsi="Times New Roman"/>
          <w:sz w:val="24"/>
          <w:szCs w:val="24"/>
        </w:rPr>
        <w:t xml:space="preserve">. Obligations are likely to be established for NAFTA countries to quickly approve GMO crops and products unless unreasonably high standards of scientific certainty regarding the risk to health and the environment are met. In addition, significant patent protections could be provided to biotechnology seed companies. </w:t>
      </w:r>
    </w:p>
    <w:p w:rsidR="00F916AE" w:rsidRPr="00BE39D2" w:rsidRDefault="00F916AE" w:rsidP="00BE39D2">
      <w:pPr>
        <w:spacing w:before="100" w:beforeAutospacing="1" w:after="100" w:afterAutospacing="1" w:line="240" w:lineRule="auto"/>
        <w:rPr>
          <w:rFonts w:ascii="Times New Roman" w:hAnsi="Times New Roman"/>
          <w:sz w:val="24"/>
          <w:szCs w:val="24"/>
        </w:rPr>
      </w:pPr>
      <w:r w:rsidRPr="00BE39D2">
        <w:rPr>
          <w:rFonts w:ascii="Times New Roman" w:hAnsi="Times New Roman"/>
          <w:sz w:val="24"/>
          <w:szCs w:val="24"/>
        </w:rPr>
        <w:t>All of this runs counter to the precautionary principle, a central tenet of sound environmental regulation that provides that deregulatory action should not be taken if the consequences are highly uncertain and potentially quite dangerous.</w:t>
      </w:r>
      <w:r w:rsidRPr="00BE39D2">
        <w:rPr>
          <w:rStyle w:val="EndnoteReference"/>
          <w:rFonts w:ascii="Times New Roman" w:hAnsi="Times New Roman"/>
          <w:sz w:val="24"/>
          <w:szCs w:val="24"/>
        </w:rPr>
        <w:endnoteReference w:id="30"/>
      </w:r>
      <w:r w:rsidRPr="00BE39D2">
        <w:rPr>
          <w:rFonts w:ascii="Times New Roman" w:hAnsi="Times New Roman"/>
          <w:sz w:val="24"/>
          <w:szCs w:val="24"/>
        </w:rPr>
        <w:t xml:space="preserve"> When industry initiatives, such as many forms of biotechnology and synthetic biology, </w:t>
      </w:r>
      <w:r w:rsidRPr="00BE39D2">
        <w:rPr>
          <w:rFonts w:ascii="Times New Roman" w:hAnsi="Times New Roman"/>
          <w:color w:val="222222"/>
          <w:sz w:val="24"/>
          <w:szCs w:val="24"/>
          <w:shd w:val="clear" w:color="auto" w:fill="FFFFFF"/>
        </w:rPr>
        <w:t>threaten serious or irreversible damage to people and the planet, the lack of full scientific certainty should not be used as a reason to block or postpone the promulgation of environmental regulations.</w:t>
      </w:r>
      <w:r w:rsidRPr="00BE39D2">
        <w:rPr>
          <w:rStyle w:val="EndnoteReference"/>
          <w:rFonts w:ascii="Times New Roman" w:hAnsi="Times New Roman"/>
          <w:color w:val="222222"/>
          <w:sz w:val="24"/>
          <w:szCs w:val="24"/>
          <w:shd w:val="clear" w:color="auto" w:fill="FFFFFF"/>
        </w:rPr>
        <w:endnoteReference w:id="31"/>
      </w:r>
    </w:p>
    <w:p w:rsidR="00F916AE" w:rsidRPr="00BE39D2" w:rsidRDefault="003D024A" w:rsidP="00BE39D2">
      <w:pPr>
        <w:pStyle w:val="Default"/>
        <w:rPr>
          <w:rStyle w:val="Strong"/>
          <w:i/>
        </w:rPr>
      </w:pPr>
      <w:r w:rsidRPr="00BE39D2">
        <w:rPr>
          <w:rStyle w:val="Strong"/>
          <w:i/>
        </w:rPr>
        <w:t>Investment chapter</w:t>
      </w:r>
    </w:p>
    <w:p w:rsidR="00F916AE" w:rsidRPr="00BE39D2" w:rsidRDefault="00F916AE" w:rsidP="00BE39D2">
      <w:pPr>
        <w:pStyle w:val="Default"/>
      </w:pPr>
    </w:p>
    <w:p w:rsidR="006A4CBB" w:rsidRPr="00BE39D2" w:rsidRDefault="00E92570" w:rsidP="00BE39D2">
      <w:pPr>
        <w:pStyle w:val="Default"/>
      </w:pPr>
      <w:r w:rsidRPr="00BE39D2">
        <w:t>A renegotiated NAFTA must not include a</w:t>
      </w:r>
      <w:r w:rsidR="00F916AE" w:rsidRPr="00BE39D2">
        <w:t xml:space="preserve"> chapter on investor-state arbitration. The U.S., Mexico, and Canada have well-developed and generally fair court systems to resolve allegations of property rights and due process violations resulting from environmental and public health measures.</w:t>
      </w:r>
      <w:r w:rsidR="00866E59" w:rsidRPr="00BE39D2">
        <w:rPr>
          <w:rStyle w:val="EndnoteReference"/>
        </w:rPr>
        <w:endnoteReference w:id="32"/>
      </w:r>
      <w:r w:rsidR="00F9784E" w:rsidRPr="00BE39D2">
        <w:t xml:space="preserve"> Investors’ substantive and procedural rights are sweeping when compared to U.S. constitutional law or the general legal practice of nations around the world.</w:t>
      </w:r>
      <w:r w:rsidR="006A4CBB" w:rsidRPr="00BE39D2">
        <w:rPr>
          <w:rStyle w:val="EndnoteReference"/>
        </w:rPr>
        <w:t xml:space="preserve"> </w:t>
      </w:r>
      <w:r w:rsidR="006A4CBB" w:rsidRPr="00BE39D2">
        <w:rPr>
          <w:rStyle w:val="EndnoteReference"/>
        </w:rPr>
        <w:endnoteReference w:id="33"/>
      </w:r>
    </w:p>
    <w:p w:rsidR="006A4CBB" w:rsidRPr="00BE39D2" w:rsidRDefault="006A4CBB" w:rsidP="00BE39D2">
      <w:pPr>
        <w:pStyle w:val="Default"/>
      </w:pPr>
    </w:p>
    <w:p w:rsidR="00F916AE" w:rsidRPr="00BE39D2" w:rsidRDefault="006A4CBB" w:rsidP="00BE39D2">
      <w:pPr>
        <w:pStyle w:val="Default"/>
      </w:pPr>
      <w:r w:rsidRPr="00BE39D2">
        <w:t>Arbitrators in these cases are typically international commercial lawyers who may alternately serve as arbitrators one day and return as corporate counsel the next, thus raising questions of conscious or unconscious bias. Scholarly studies often based on empirical research make a convincing case that arbitrator bias is real.</w:t>
      </w:r>
      <w:r w:rsidR="007827C9" w:rsidRPr="00BE39D2">
        <w:rPr>
          <w:rStyle w:val="EndnoteReference"/>
        </w:rPr>
        <w:endnoteReference w:id="34"/>
      </w:r>
    </w:p>
    <w:p w:rsidR="00F02BAC" w:rsidRPr="00BE39D2" w:rsidRDefault="00F02BAC" w:rsidP="00BE39D2">
      <w:pPr>
        <w:pStyle w:val="Default"/>
      </w:pPr>
    </w:p>
    <w:p w:rsidR="00714EA5" w:rsidRPr="00BE39D2" w:rsidRDefault="00F02BAC" w:rsidP="00BE39D2">
      <w:pPr>
        <w:pStyle w:val="Default"/>
        <w:jc w:val="center"/>
        <w:rPr>
          <w:b/>
          <w:color w:val="222222"/>
          <w:shd w:val="clear" w:color="auto" w:fill="FFFFFF"/>
        </w:rPr>
      </w:pPr>
      <w:r w:rsidRPr="00BE39D2">
        <w:rPr>
          <w:b/>
          <w:color w:val="222222"/>
          <w:shd w:val="clear" w:color="auto" w:fill="FFFFFF"/>
        </w:rPr>
        <w:t>The Bottom Line</w:t>
      </w:r>
    </w:p>
    <w:p w:rsidR="00320FFA" w:rsidRPr="00BE39D2" w:rsidRDefault="00320FFA" w:rsidP="00BE39D2">
      <w:pPr>
        <w:autoSpaceDE w:val="0"/>
        <w:autoSpaceDN w:val="0"/>
        <w:adjustRightInd w:val="0"/>
        <w:spacing w:after="0" w:line="240" w:lineRule="auto"/>
        <w:ind w:right="-302"/>
        <w:rPr>
          <w:rStyle w:val="graf-dropcap"/>
          <w:rFonts w:ascii="Times New Roman" w:eastAsia="Times New Roman" w:hAnsi="Times New Roman"/>
          <w:sz w:val="24"/>
          <w:szCs w:val="24"/>
        </w:rPr>
      </w:pPr>
    </w:p>
    <w:p w:rsidR="004D5826" w:rsidRPr="00BE39D2" w:rsidRDefault="00714EA5" w:rsidP="00BE39D2">
      <w:pPr>
        <w:autoSpaceDE w:val="0"/>
        <w:autoSpaceDN w:val="0"/>
        <w:adjustRightInd w:val="0"/>
        <w:spacing w:line="240" w:lineRule="auto"/>
        <w:ind w:right="-302"/>
        <w:rPr>
          <w:rFonts w:ascii="Times New Roman" w:hAnsi="Times New Roman"/>
          <w:sz w:val="24"/>
          <w:szCs w:val="24"/>
        </w:rPr>
      </w:pPr>
      <w:r w:rsidRPr="00BE39D2">
        <w:rPr>
          <w:rStyle w:val="graf-dropcap"/>
          <w:rFonts w:ascii="Times New Roman" w:eastAsia="Times New Roman" w:hAnsi="Times New Roman"/>
          <w:sz w:val="24"/>
          <w:szCs w:val="24"/>
        </w:rPr>
        <w:t xml:space="preserve">NAFTA </w:t>
      </w:r>
      <w:r w:rsidRPr="00BE39D2">
        <w:rPr>
          <w:rFonts w:ascii="Times New Roman" w:eastAsia="Times New Roman" w:hAnsi="Times New Roman"/>
          <w:sz w:val="24"/>
          <w:szCs w:val="24"/>
        </w:rPr>
        <w:t xml:space="preserve">is about trade in goods and services, but it is also all about </w:t>
      </w:r>
      <w:r w:rsidR="00E92570" w:rsidRPr="00BE39D2">
        <w:rPr>
          <w:rFonts w:ascii="Times New Roman" w:hAnsi="Times New Roman"/>
          <w:sz w:val="24"/>
          <w:szCs w:val="24"/>
        </w:rPr>
        <w:t>deregulation and forcing governments</w:t>
      </w:r>
      <w:r w:rsidRPr="00BE39D2">
        <w:rPr>
          <w:rFonts w:ascii="Times New Roman" w:eastAsia="Times New Roman" w:hAnsi="Times New Roman"/>
          <w:sz w:val="24"/>
          <w:szCs w:val="24"/>
        </w:rPr>
        <w:t xml:space="preserve"> to pay corporations and wealthy investors for the cost of complying with environmental and other public interest safeguards.</w:t>
      </w:r>
      <w:r w:rsidR="00E92570" w:rsidRPr="00BE39D2">
        <w:rPr>
          <w:rStyle w:val="EndnoteReference"/>
          <w:rFonts w:ascii="Times New Roman" w:eastAsia="Times New Roman" w:hAnsi="Times New Roman"/>
          <w:sz w:val="24"/>
          <w:szCs w:val="24"/>
        </w:rPr>
        <w:endnoteReference w:id="35"/>
      </w:r>
      <w:r w:rsidRPr="00BE39D2">
        <w:rPr>
          <w:rFonts w:ascii="Times New Roman" w:eastAsia="Times New Roman" w:hAnsi="Times New Roman"/>
          <w:sz w:val="24"/>
          <w:szCs w:val="24"/>
        </w:rPr>
        <w:t xml:space="preserve"> Like the old NAFTA, any new NAFTA will broadly restrict the policy space for governments to take effective environmental and climate action. </w:t>
      </w:r>
      <w:r w:rsidR="00320FFA" w:rsidRPr="00BE39D2">
        <w:rPr>
          <w:rFonts w:ascii="Times New Roman" w:eastAsia="Times New Roman" w:hAnsi="Times New Roman"/>
          <w:sz w:val="24"/>
          <w:szCs w:val="24"/>
        </w:rPr>
        <w:t>This</w:t>
      </w:r>
      <w:r w:rsidRPr="00BE39D2">
        <w:rPr>
          <w:rFonts w:ascii="Times New Roman" w:eastAsia="Times New Roman" w:hAnsi="Times New Roman"/>
          <w:sz w:val="24"/>
          <w:szCs w:val="24"/>
        </w:rPr>
        <w:t xml:space="preserve"> applies particularly with respect to public policy related to food,</w:t>
      </w:r>
      <w:r w:rsidR="00634DAB" w:rsidRPr="00BE39D2">
        <w:rPr>
          <w:rFonts w:ascii="Times New Roman" w:hAnsi="Times New Roman"/>
          <w:sz w:val="24"/>
          <w:szCs w:val="24"/>
        </w:rPr>
        <w:t xml:space="preserve"> agriculture, chemicals, and biotechnology</w:t>
      </w:r>
      <w:r w:rsidRPr="00BE39D2">
        <w:rPr>
          <w:rFonts w:ascii="Times New Roman" w:eastAsia="Times New Roman" w:hAnsi="Times New Roman"/>
          <w:sz w:val="24"/>
          <w:szCs w:val="24"/>
        </w:rPr>
        <w:t>.</w:t>
      </w:r>
    </w:p>
    <w:p w:rsidR="004D5826" w:rsidRPr="006200BE" w:rsidRDefault="00714EA5" w:rsidP="00B62A80">
      <w:pPr>
        <w:rPr>
          <w:rFonts w:ascii="Times New Roman" w:hAnsi="Times New Roman"/>
          <w:b/>
          <w:sz w:val="28"/>
          <w:szCs w:val="28"/>
        </w:rPr>
      </w:pPr>
      <w:r w:rsidRPr="006200BE">
        <w:rPr>
          <w:rFonts w:ascii="Times New Roman" w:hAnsi="Times New Roman"/>
          <w:b/>
          <w:sz w:val="28"/>
          <w:szCs w:val="28"/>
        </w:rPr>
        <w:t>Endnotes</w:t>
      </w:r>
    </w:p>
    <w:sectPr w:rsidR="004D5826" w:rsidRPr="006200BE" w:rsidSect="00F65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E7" w:rsidRDefault="00A14BE7" w:rsidP="00C730B8">
      <w:pPr>
        <w:spacing w:after="0" w:line="240" w:lineRule="auto"/>
      </w:pPr>
      <w:r>
        <w:separator/>
      </w:r>
    </w:p>
  </w:endnote>
  <w:endnote w:type="continuationSeparator" w:id="0">
    <w:p w:rsidR="00A14BE7" w:rsidRDefault="00A14BE7" w:rsidP="00C730B8">
      <w:pPr>
        <w:spacing w:after="0" w:line="240" w:lineRule="auto"/>
      </w:pPr>
      <w:r>
        <w:continuationSeparator/>
      </w:r>
    </w:p>
  </w:endnote>
  <w:endnote w:id="1">
    <w:p w:rsidR="00E92570" w:rsidRPr="00CF1025" w:rsidRDefault="0073765F">
      <w:pPr>
        <w:pStyle w:val="EndnoteText"/>
      </w:pPr>
      <w:r>
        <w:rPr>
          <w:rStyle w:val="EndnoteReference"/>
        </w:rPr>
        <w:endnoteRef/>
      </w:r>
      <w:r>
        <w:t xml:space="preserve"> </w:t>
      </w:r>
      <w:r w:rsidRPr="00CF1025">
        <w:t>The Trade Promotion Authority la</w:t>
      </w:r>
      <w:r w:rsidR="00517BBA" w:rsidRPr="00CF1025">
        <w:t>w and past practice contemplate</w:t>
      </w:r>
      <w:r w:rsidRPr="00CF1025">
        <w:t xml:space="preserve"> that the publication of negotiating obje</w:t>
      </w:r>
      <w:r w:rsidR="007B56A0" w:rsidRPr="00CF1025">
        <w:t>ctives will be detailed, but rum</w:t>
      </w:r>
      <w:r w:rsidRPr="00CF1025">
        <w:t>ors have been circulating that the NAFTA renegotiation objectives will be broad and general in order to cloak Trump’s plans, thereby keeping Congress and the public in the dark.</w:t>
      </w:r>
    </w:p>
    <w:p w:rsidR="0073765F" w:rsidRPr="00CF1025" w:rsidRDefault="0073765F">
      <w:pPr>
        <w:pStyle w:val="EndnoteText"/>
      </w:pPr>
    </w:p>
  </w:endnote>
  <w:endnote w:id="2">
    <w:p w:rsidR="00F916AE" w:rsidRPr="00CF1025" w:rsidRDefault="00F916AE" w:rsidP="006200BE">
      <w:pPr>
        <w:pStyle w:val="Heading1"/>
        <w:shd w:val="clear" w:color="auto" w:fill="FFFFFF"/>
        <w:spacing w:before="0" w:beforeAutospacing="0" w:after="150" w:afterAutospacing="0"/>
        <w:rPr>
          <w:iCs/>
          <w:color w:val="000000"/>
          <w:sz w:val="20"/>
          <w:szCs w:val="20"/>
        </w:rPr>
      </w:pPr>
      <w:r w:rsidRPr="00CF1025">
        <w:rPr>
          <w:rStyle w:val="EndnoteReference"/>
          <w:b w:val="0"/>
          <w:sz w:val="20"/>
          <w:szCs w:val="20"/>
        </w:rPr>
        <w:endnoteRef/>
      </w:r>
      <w:r w:rsidRPr="00CF1025">
        <w:rPr>
          <w:b w:val="0"/>
          <w:sz w:val="20"/>
          <w:szCs w:val="20"/>
        </w:rPr>
        <w:t xml:space="preserve"> </w:t>
      </w:r>
      <w:r w:rsidR="00244A2F" w:rsidRPr="00CF1025">
        <w:rPr>
          <w:b w:val="0"/>
          <w:sz w:val="20"/>
          <w:szCs w:val="20"/>
        </w:rPr>
        <w:t xml:space="preserve">Julie Hirschfeld, Alan Rappeport, </w:t>
      </w:r>
      <w:r w:rsidR="00D66557" w:rsidRPr="00CF1025">
        <w:rPr>
          <w:b w:val="0"/>
          <w:iCs/>
          <w:color w:val="000000"/>
          <w:sz w:val="20"/>
          <w:szCs w:val="20"/>
        </w:rPr>
        <w:t>After Calling Nafta ‘Worst Trade Deal,’ Trump Appears to Soften Stance, New York Times,</w:t>
      </w:r>
      <w:r w:rsidR="009C643E" w:rsidRPr="00CF1025">
        <w:rPr>
          <w:sz w:val="20"/>
          <w:szCs w:val="20"/>
        </w:rPr>
        <w:t xml:space="preserve"> </w:t>
      </w:r>
      <w:r w:rsidR="009C643E" w:rsidRPr="00CF1025">
        <w:rPr>
          <w:b w:val="0"/>
          <w:iCs/>
          <w:color w:val="000000"/>
          <w:sz w:val="20"/>
          <w:szCs w:val="20"/>
        </w:rPr>
        <w:t>https://www.nytimes.com/2017/03/30/business/nafta-trade-deal-trump.html</w:t>
      </w:r>
    </w:p>
  </w:endnote>
  <w:endnote w:id="3">
    <w:p w:rsidR="00EC6B63" w:rsidRPr="00CF1025" w:rsidRDefault="00EC6B63">
      <w:pPr>
        <w:pStyle w:val="EndnoteText"/>
      </w:pPr>
      <w:r w:rsidRPr="00CF1025">
        <w:rPr>
          <w:rStyle w:val="EndnoteReference"/>
        </w:rPr>
        <w:endnoteRef/>
      </w:r>
      <w:r w:rsidRPr="00CF1025">
        <w:t xml:space="preserve"> </w:t>
      </w:r>
      <w:hyperlink r:id="rId1" w:history="1">
        <w:r w:rsidRPr="00CF1025">
          <w:rPr>
            <w:rStyle w:val="Hyperlink"/>
          </w:rPr>
          <w:t>Cale Jaffe</w:t>
        </w:r>
      </w:hyperlink>
      <w:r w:rsidRPr="00CF1025">
        <w:t xml:space="preserve"> and </w:t>
      </w:r>
      <w:hyperlink r:id="rId2" w:history="1">
        <w:r w:rsidRPr="00CF1025">
          <w:rPr>
            <w:rStyle w:val="Hyperlink"/>
          </w:rPr>
          <w:t>Steph Tai</w:t>
        </w:r>
      </w:hyperlink>
      <w:r w:rsidRPr="00CF1025">
        <w:t xml:space="preserve"> Trump’s Disdain for Environmental Regulations Stems From His Misunderstanding, </w:t>
      </w:r>
      <w:hyperlink r:id="rId3" w:history="1">
        <w:r w:rsidRPr="00CF1025">
          <w:rPr>
            <w:rStyle w:val="Hyperlink"/>
          </w:rPr>
          <w:t>http://www.slate.com/articles/health_and_science/science/2017/05/trump_hates_regulations_because_he_doesn_t_understand_them.html</w:t>
        </w:r>
      </w:hyperlink>
    </w:p>
    <w:p w:rsidR="0059398A" w:rsidRPr="00CF1025" w:rsidRDefault="0059398A">
      <w:pPr>
        <w:pStyle w:val="EndnoteText"/>
      </w:pPr>
    </w:p>
  </w:endnote>
  <w:endnote w:id="4">
    <w:p w:rsidR="00F916AE" w:rsidRPr="00CF1025" w:rsidRDefault="00F916AE" w:rsidP="00F916AE">
      <w:pPr>
        <w:pStyle w:val="EndnoteText"/>
      </w:pPr>
      <w:r w:rsidRPr="00CF1025">
        <w:rPr>
          <w:rStyle w:val="EndnoteReference"/>
        </w:rPr>
        <w:endnoteRef/>
      </w:r>
      <w:r w:rsidRPr="00CF1025">
        <w:t xml:space="preserve"> F</w:t>
      </w:r>
      <w:r w:rsidRPr="00CF1025">
        <w:rPr>
          <w:color w:val="222222"/>
          <w:shd w:val="clear" w:color="auto" w:fill="FFFFFF"/>
        </w:rPr>
        <w:t>riends of the Earth</w:t>
      </w:r>
      <w:r w:rsidRPr="00CF1025">
        <w:rPr>
          <w:b/>
          <w:color w:val="222222"/>
          <w:shd w:val="clear" w:color="auto" w:fill="FFFFFF"/>
        </w:rPr>
        <w:t xml:space="preserve"> </w:t>
      </w:r>
      <w:r w:rsidRPr="00CF1025">
        <w:t>endorses wholeheartedly the demands on NAFTA renegotiation of a broad coalition of environmental groups.</w:t>
      </w:r>
      <w:r w:rsidRPr="00CF1025">
        <w:rPr>
          <w:rStyle w:val="FootnoteReference"/>
        </w:rPr>
        <w:t xml:space="preserve"> </w:t>
      </w:r>
      <w:r w:rsidRPr="00CF1025">
        <w:t xml:space="preserve"> See 350.org., Center for Biological Diversity,  Center for Food Safety, Defenders of Wildlife, Earthjustice, Friends of the Earth, Food and Water Watch, Global Exchange, Green America, Greenpeace USA, Institute for Agriculture and Trade Policy, League of Conservation Voters, Natural Resources Defense Fund, Sierra Club, U.S. Human Rights Network, Institute for Agriculture and Trade Policy. </w:t>
      </w:r>
      <w:hyperlink r:id="rId4" w:history="1">
        <w:r w:rsidRPr="00CF1025">
          <w:rPr>
            <w:rStyle w:val="Hyperlink"/>
          </w:rPr>
          <w:t>https://www.sierraclub.org/sites/www.sierraclub.org/files/uploads-wysiwig/NAFTA%20Enviro%20Redlines%20FINAL.pdf</w:t>
        </w:r>
      </w:hyperlink>
    </w:p>
    <w:p w:rsidR="0059398A" w:rsidRPr="00CF1025" w:rsidRDefault="0059398A" w:rsidP="00F916AE">
      <w:pPr>
        <w:pStyle w:val="EndnoteText"/>
      </w:pPr>
    </w:p>
  </w:endnote>
  <w:endnote w:id="5">
    <w:p w:rsidR="00F916AE" w:rsidRPr="00CF1025" w:rsidRDefault="00F916AE" w:rsidP="00F916AE">
      <w:pPr>
        <w:pStyle w:val="EndnoteText"/>
      </w:pPr>
      <w:r w:rsidRPr="00CF1025">
        <w:rPr>
          <w:rStyle w:val="EndnoteReference"/>
        </w:rPr>
        <w:endnoteRef/>
      </w:r>
      <w:r w:rsidRPr="00CF1025">
        <w:t xml:space="preserve"> Friends of the Earth is also a member of the Citizens Trade Campaign and endorses that coalition’s demands as well.</w:t>
      </w:r>
      <w:r w:rsidR="00E92570" w:rsidRPr="00CF1025">
        <w:t xml:space="preserve"> </w:t>
      </w:r>
      <w:r w:rsidRPr="00CF1025">
        <w:t xml:space="preserve">Citizens Trade Campaign, </w:t>
      </w:r>
      <w:hyperlink r:id="rId5" w:history="1">
        <w:r w:rsidRPr="00CF1025">
          <w:rPr>
            <w:rStyle w:val="Hyperlink"/>
          </w:rPr>
          <w:t>http://www.citizenstrade.org/ctc/blog/2017/01/13/labor-nonprofit-groups-outline-priority-nafta-changes/</w:t>
        </w:r>
      </w:hyperlink>
    </w:p>
    <w:p w:rsidR="0059398A" w:rsidRPr="00CF1025" w:rsidRDefault="0059398A" w:rsidP="00F916AE">
      <w:pPr>
        <w:pStyle w:val="EndnoteText"/>
      </w:pPr>
    </w:p>
  </w:endnote>
  <w:endnote w:id="6">
    <w:p w:rsidR="00F916AE" w:rsidRPr="00CF1025" w:rsidRDefault="00F916AE" w:rsidP="00F916AE">
      <w:pPr>
        <w:pStyle w:val="EndnoteText"/>
      </w:pPr>
      <w:r w:rsidRPr="00CF1025">
        <w:rPr>
          <w:rStyle w:val="EndnoteReference"/>
        </w:rPr>
        <w:endnoteRef/>
      </w:r>
      <w:r w:rsidRPr="00CF1025">
        <w:t xml:space="preserve"> A press release issued in May by the Office of the U.S. Trade Representative Robert Lighthizer stated that NAFTA renegotiation “</w:t>
      </w:r>
      <w:r w:rsidRPr="00CF1025">
        <w:rPr>
          <w:color w:val="222222"/>
          <w:shd w:val="clear" w:color="auto" w:fill="FFFFFF"/>
        </w:rPr>
        <w:t>…will be pursued consistent with U.S. priorities and the negotiating objectives established by Congress in the Bipartisan Congressional Trade Priorities and Accountability Act of 2015 (TPA).” USTR: Trump Administration Announces Intent to Renegotiate the North American Free Trade Agreement,</w:t>
      </w:r>
      <w:r w:rsidRPr="00CF1025">
        <w:t xml:space="preserve"> </w:t>
      </w:r>
      <w:hyperlink r:id="rId6" w:history="1">
        <w:r w:rsidRPr="00CF1025">
          <w:rPr>
            <w:rStyle w:val="Hyperlink"/>
            <w:shd w:val="clear" w:color="auto" w:fill="FFFFFF"/>
          </w:rPr>
          <w:t>https://ustr.gov/about-us/policy-offices/press-office/press-releases/2017/may/ustr-trump-administration-announces</w:t>
        </w:r>
      </w:hyperlink>
      <w:r w:rsidR="00E92570" w:rsidRPr="00CF1025">
        <w:rPr>
          <w:color w:val="222222"/>
          <w:shd w:val="clear" w:color="auto" w:fill="FFFFFF"/>
        </w:rPr>
        <w:t xml:space="preserve">; </w:t>
      </w:r>
      <w:r w:rsidRPr="00CF1025">
        <w:rPr>
          <w:color w:val="222222"/>
          <w:shd w:val="clear" w:color="auto" w:fill="FFFFFF"/>
        </w:rPr>
        <w:t xml:space="preserve">The TPA or Fast Track legislation is replete with negotiating objectives that would roll back environmental regulations. </w:t>
      </w:r>
      <w:r w:rsidRPr="00CF1025">
        <w:t xml:space="preserve">TPA 2015 text negotiating objectives </w:t>
      </w:r>
      <w:hyperlink r:id="rId7" w:history="1">
        <w:r w:rsidRPr="00CF1025">
          <w:rPr>
            <w:rStyle w:val="Hyperlink"/>
          </w:rPr>
          <w:t>https://www.congress.gov/114/plaws/publ26/PLAW-114publ26.pdf</w:t>
        </w:r>
      </w:hyperlink>
    </w:p>
    <w:p w:rsidR="0059398A" w:rsidRPr="00CF1025" w:rsidRDefault="0059398A" w:rsidP="00F916AE">
      <w:pPr>
        <w:pStyle w:val="EndnoteText"/>
      </w:pPr>
    </w:p>
  </w:endnote>
  <w:endnote w:id="7">
    <w:p w:rsidR="00F916AE" w:rsidRPr="00CF1025" w:rsidRDefault="00F916AE" w:rsidP="00F916AE">
      <w:pPr>
        <w:pStyle w:val="EndnoteText"/>
      </w:pPr>
      <w:r w:rsidRPr="00CF1025">
        <w:rPr>
          <w:rStyle w:val="EndnoteReference"/>
        </w:rPr>
        <w:endnoteRef/>
      </w:r>
      <w:r w:rsidRPr="00CF1025">
        <w:t xml:space="preserve"> Friends of the Earth, Statement on Trump’s plan for NAFTA renegotiation, </w:t>
      </w:r>
      <w:hyperlink r:id="rId8" w:history="1">
        <w:r w:rsidRPr="00CF1025">
          <w:rPr>
            <w:rStyle w:val="Hyperlink"/>
          </w:rPr>
          <w:t>http://www.foe.org/news/news-releases/2017-03-statement-on-trumps-plan-for-nafta-renegotiation</w:t>
        </w:r>
      </w:hyperlink>
      <w:r w:rsidRPr="00CF1025">
        <w:t xml:space="preserve">; Lori Wallach, Will NAFTA Renegotiation Produce TPP 2.0 and Intensify Damage? Or Fulfill Trump Promise of a ‘Much Better’ Deal for Working Americans? Maintaining Secretive Process With 500 Official Corporate Advisers Does Not Bode Well. </w:t>
      </w:r>
      <w:hyperlink r:id="rId9" w:history="1">
        <w:r w:rsidRPr="00CF1025">
          <w:rPr>
            <w:rStyle w:val="Hyperlink"/>
          </w:rPr>
          <w:t>https://www.commondreams.org/newswire/2017/05/18/will-nafta-renegotiation-produce-tpp-20-and-intensify-damage-or-fulfill-trump</w:t>
        </w:r>
      </w:hyperlink>
      <w:r w:rsidRPr="00CF1025">
        <w:t xml:space="preserve">; Friends of the Earth, Trump’s NAFTA “re-do” threatens people and the planet, </w:t>
      </w:r>
      <w:hyperlink r:id="rId10" w:history="1">
        <w:r w:rsidRPr="00CF1025">
          <w:rPr>
            <w:rStyle w:val="Hyperlink"/>
          </w:rPr>
          <w:t>http://www.foe.org/news/news-releases/2017-05-trumps-nafta-re-do-threatens-people-and-the-planet</w:t>
        </w:r>
      </w:hyperlink>
    </w:p>
    <w:p w:rsidR="0059398A" w:rsidRPr="00CF1025" w:rsidRDefault="0059398A" w:rsidP="00F916AE">
      <w:pPr>
        <w:pStyle w:val="EndnoteText"/>
      </w:pPr>
    </w:p>
  </w:endnote>
  <w:endnote w:id="8">
    <w:p w:rsidR="00F916AE" w:rsidRPr="00CF1025" w:rsidRDefault="00F916AE" w:rsidP="00F916AE">
      <w:pPr>
        <w:pStyle w:val="EndnoteText"/>
      </w:pPr>
      <w:r w:rsidRPr="00CF1025">
        <w:rPr>
          <w:rStyle w:val="EndnoteReference"/>
        </w:rPr>
        <w:endnoteRef/>
      </w:r>
      <w:r w:rsidRPr="00CF1025">
        <w:t xml:space="preserve"> Friends of the Earth, President Obama dodges Pacific trade deal threat to the environment, </w:t>
      </w:r>
      <w:r w:rsidR="00E92570" w:rsidRPr="00CF1025">
        <w:t xml:space="preserve">January 21, 2016. </w:t>
      </w:r>
      <w:hyperlink r:id="rId11" w:history="1">
        <w:r w:rsidRPr="00CF1025">
          <w:rPr>
            <w:rStyle w:val="Hyperlink"/>
          </w:rPr>
          <w:t>https://medium.com/economic-policy/president-obama-dodges-pacific-trade-deal-threat-to-the-environment-7f9b4ff44c91</w:t>
        </w:r>
      </w:hyperlink>
    </w:p>
    <w:p w:rsidR="0059398A" w:rsidRPr="00CF1025" w:rsidRDefault="0059398A" w:rsidP="00F916AE">
      <w:pPr>
        <w:pStyle w:val="EndnoteText"/>
      </w:pPr>
    </w:p>
  </w:endnote>
  <w:endnote w:id="9">
    <w:p w:rsidR="00F916AE" w:rsidRPr="00CF1025" w:rsidRDefault="00F916AE" w:rsidP="00F916AE">
      <w:pPr>
        <w:pStyle w:val="EndnoteText"/>
      </w:pPr>
      <w:r w:rsidRPr="00CF1025">
        <w:rPr>
          <w:rStyle w:val="EndnoteReference"/>
        </w:rPr>
        <w:endnoteRef/>
      </w:r>
      <w:r w:rsidRPr="00CF1025">
        <w:t xml:space="preserve"> Services provisions</w:t>
      </w:r>
      <w:r w:rsidRPr="00CF1025">
        <w:rPr>
          <w:b/>
          <w:bCs/>
          <w:i/>
          <w:iCs/>
        </w:rPr>
        <w:t> </w:t>
      </w:r>
      <w:r w:rsidRPr="00CF1025">
        <w:t xml:space="preserve">in past U.S. trade agreements broadly affect the environment, including services related to water, as well as solid waste, hazardous waste, electricity, pollution control, transportation, oil/gas pipeline transportation, and other energy services, to name a just a few. </w:t>
      </w:r>
      <w:r w:rsidRPr="00CF1025">
        <w:rPr>
          <w:i/>
          <w:iCs/>
        </w:rPr>
        <w:t xml:space="preserve">See, </w:t>
      </w:r>
      <w:r w:rsidRPr="00CF1025">
        <w:t xml:space="preserve">Friends of the Earth, US, The Trade in Services Agreement is an environmental hazard, </w:t>
      </w:r>
      <w:hyperlink r:id="rId12" w:history="1">
        <w:r w:rsidRPr="00CF1025">
          <w:rPr>
            <w:rStyle w:val="Hyperlink"/>
          </w:rPr>
          <w:t>https://wikileaks.org/tisa/Analysis-TiSA-Annex-on-Environment-related-Services/Analysis-TiSA-Annex-on-Environment-related-Services.pdf</w:t>
        </w:r>
      </w:hyperlink>
    </w:p>
    <w:p w:rsidR="0059398A" w:rsidRPr="00CF1025" w:rsidRDefault="0059398A" w:rsidP="00F916AE">
      <w:pPr>
        <w:pStyle w:val="EndnoteText"/>
      </w:pPr>
    </w:p>
  </w:endnote>
  <w:endnote w:id="10">
    <w:p w:rsidR="00F916AE" w:rsidRPr="00CF1025" w:rsidRDefault="00F916AE" w:rsidP="00F916AE">
      <w:pPr>
        <w:pStyle w:val="EndnoteText"/>
      </w:pPr>
      <w:r w:rsidRPr="00CF1025">
        <w:rPr>
          <w:rStyle w:val="EndnoteReference"/>
        </w:rPr>
        <w:endnoteRef/>
      </w:r>
      <w:r w:rsidRPr="00CF1025">
        <w:t xml:space="preserve"> Andrew Mayeda, David Gura, </w:t>
      </w:r>
      <w:r w:rsidRPr="00CF1025">
        <w:rPr>
          <w:rStyle w:val="lede-text-onlyhighlight"/>
        </w:rPr>
        <w:t xml:space="preserve">Ross Says TPP Could Form Starting Point for U.S. on Nafta Talks, Bloomberg, </w:t>
      </w:r>
      <w:r w:rsidRPr="00CF1025">
        <w:t xml:space="preserve">May 3, 2017, </w:t>
      </w:r>
      <w:hyperlink r:id="rId13" w:history="1">
        <w:r w:rsidRPr="00CF1025">
          <w:rPr>
            <w:rStyle w:val="Hyperlink"/>
          </w:rPr>
          <w:t>https://www.bloomberg.com/news/articles/2017-05-03/ross-says-tpp-could-form-starting-point-for-u-s-on-nafta-talks</w:t>
        </w:r>
      </w:hyperlink>
    </w:p>
    <w:p w:rsidR="00231B45" w:rsidRPr="00CF1025" w:rsidRDefault="00231B45" w:rsidP="00F916AE">
      <w:pPr>
        <w:pStyle w:val="EndnoteText"/>
      </w:pPr>
    </w:p>
  </w:endnote>
  <w:endnote w:id="11">
    <w:p w:rsidR="00F916AE" w:rsidRPr="00CF1025" w:rsidRDefault="00F916AE" w:rsidP="00F916AE">
      <w:pPr>
        <w:pStyle w:val="EndnoteText"/>
      </w:pPr>
      <w:r w:rsidRPr="00CF1025">
        <w:rPr>
          <w:rStyle w:val="EndnoteReference"/>
        </w:rPr>
        <w:endnoteRef/>
      </w:r>
      <w:r w:rsidRPr="00CF1025">
        <w:t xml:space="preserve"> Dale Moore American Farm Bureau</w:t>
      </w:r>
      <w:r w:rsidR="00E92570" w:rsidRPr="00CF1025">
        <w:t>,</w:t>
      </w:r>
      <w:r w:rsidRPr="00CF1025">
        <w:rPr>
          <w:color w:val="1F497D"/>
        </w:rPr>
        <w:t xml:space="preserve"> </w:t>
      </w:r>
      <w:hyperlink r:id="rId14" w:history="1">
        <w:r w:rsidRPr="00CF1025">
          <w:rPr>
            <w:rStyle w:val="Hyperlink"/>
          </w:rPr>
          <w:t>https://www.regulations.gov/document?D=USTR-2017-0006-0862</w:t>
        </w:r>
      </w:hyperlink>
    </w:p>
    <w:p w:rsidR="0059398A" w:rsidRPr="00CF1025" w:rsidRDefault="0059398A" w:rsidP="00F916AE">
      <w:pPr>
        <w:pStyle w:val="EndnoteText"/>
      </w:pPr>
    </w:p>
  </w:endnote>
  <w:endnote w:id="12">
    <w:p w:rsidR="00F916AE" w:rsidRPr="00CF1025" w:rsidRDefault="00F916AE" w:rsidP="006200BE">
      <w:pPr>
        <w:rPr>
          <w:rFonts w:ascii="Times New Roman" w:hAnsi="Times New Roman"/>
          <w:color w:val="1F497D"/>
          <w:sz w:val="20"/>
          <w:szCs w:val="20"/>
        </w:rPr>
      </w:pPr>
      <w:r w:rsidRPr="00CF1025">
        <w:rPr>
          <w:rStyle w:val="EndnoteReference"/>
          <w:rFonts w:ascii="Times New Roman" w:hAnsi="Times New Roman"/>
          <w:sz w:val="20"/>
          <w:szCs w:val="20"/>
        </w:rPr>
        <w:endnoteRef/>
      </w:r>
      <w:r w:rsidRPr="00CF1025">
        <w:rPr>
          <w:rFonts w:ascii="Times New Roman" w:hAnsi="Times New Roman"/>
          <w:sz w:val="20"/>
          <w:szCs w:val="20"/>
        </w:rPr>
        <w:t xml:space="preserve"> </w:t>
      </w:r>
      <w:r w:rsidR="005F2075" w:rsidRPr="00CF1025">
        <w:rPr>
          <w:rFonts w:ascii="Times New Roman" w:hAnsi="Times New Roman"/>
          <w:sz w:val="20"/>
          <w:szCs w:val="20"/>
        </w:rPr>
        <w:t>Iowa Corn Growers Association</w:t>
      </w:r>
      <w:r w:rsidR="00E92570" w:rsidRPr="00CF1025">
        <w:rPr>
          <w:rFonts w:ascii="Times New Roman" w:hAnsi="Times New Roman"/>
          <w:sz w:val="20"/>
          <w:szCs w:val="20"/>
        </w:rPr>
        <w:t>,</w:t>
      </w:r>
      <w:r w:rsidR="005F2075" w:rsidRPr="00CF1025">
        <w:rPr>
          <w:rFonts w:ascii="Times New Roman" w:hAnsi="Times New Roman"/>
          <w:sz w:val="20"/>
          <w:szCs w:val="20"/>
        </w:rPr>
        <w:t xml:space="preserve"> </w:t>
      </w:r>
      <w:hyperlink r:id="rId15" w:history="1">
        <w:r w:rsidR="005F2075" w:rsidRPr="00CF1025">
          <w:rPr>
            <w:rStyle w:val="Hyperlink"/>
            <w:rFonts w:ascii="Times New Roman" w:hAnsi="Times New Roman"/>
            <w:sz w:val="20"/>
            <w:szCs w:val="20"/>
          </w:rPr>
          <w:t>https://www.regulations.gov/document?D=USTR-2017-0006-0806</w:t>
        </w:r>
      </w:hyperlink>
    </w:p>
  </w:endnote>
  <w:endnote w:id="13">
    <w:p w:rsidR="00F916AE" w:rsidRPr="00CF1025" w:rsidRDefault="00F916AE" w:rsidP="006200BE">
      <w:pPr>
        <w:autoSpaceDE w:val="0"/>
        <w:autoSpaceDN w:val="0"/>
        <w:spacing w:line="240" w:lineRule="auto"/>
        <w:rPr>
          <w:rFonts w:ascii="Times New Roman" w:hAnsi="Times New Roman"/>
          <w:color w:val="111111"/>
          <w:sz w:val="20"/>
          <w:szCs w:val="20"/>
        </w:rPr>
      </w:pPr>
      <w:r w:rsidRPr="00CF1025">
        <w:rPr>
          <w:rStyle w:val="EndnoteReference"/>
          <w:rFonts w:ascii="Times New Roman" w:hAnsi="Times New Roman"/>
          <w:sz w:val="20"/>
          <w:szCs w:val="20"/>
        </w:rPr>
        <w:endnoteRef/>
      </w:r>
      <w:r w:rsidRPr="00CF1025">
        <w:rPr>
          <w:rFonts w:ascii="Times New Roman" w:hAnsi="Times New Roman"/>
          <w:sz w:val="20"/>
          <w:szCs w:val="20"/>
        </w:rPr>
        <w:t xml:space="preserve"> DuPont Federal Register Comments on NAFTA renegotiation. </w:t>
      </w:r>
      <w:r w:rsidRPr="00CF1025">
        <w:rPr>
          <w:rFonts w:ascii="Times New Roman" w:hAnsi="Times New Roman"/>
          <w:color w:val="202020"/>
          <w:sz w:val="20"/>
          <w:szCs w:val="20"/>
        </w:rPr>
        <w:t xml:space="preserve">“DuPont </w:t>
      </w:r>
      <w:r w:rsidRPr="00CF1025">
        <w:rPr>
          <w:rFonts w:ascii="Times New Roman" w:hAnsi="Times New Roman"/>
          <w:color w:val="333333"/>
          <w:sz w:val="20"/>
          <w:szCs w:val="20"/>
        </w:rPr>
        <w:t xml:space="preserve">agrees </w:t>
      </w:r>
      <w:r w:rsidRPr="00CF1025">
        <w:rPr>
          <w:rFonts w:ascii="Times New Roman" w:hAnsi="Times New Roman"/>
          <w:color w:val="202020"/>
          <w:sz w:val="20"/>
          <w:szCs w:val="20"/>
        </w:rPr>
        <w:t>th</w:t>
      </w:r>
      <w:r w:rsidRPr="00CF1025">
        <w:rPr>
          <w:rFonts w:ascii="Times New Roman" w:hAnsi="Times New Roman"/>
          <w:color w:val="484849"/>
          <w:sz w:val="20"/>
          <w:szCs w:val="20"/>
        </w:rPr>
        <w:t>a</w:t>
      </w:r>
      <w:r w:rsidRPr="00CF1025">
        <w:rPr>
          <w:rFonts w:ascii="Times New Roman" w:hAnsi="Times New Roman"/>
          <w:color w:val="202020"/>
          <w:sz w:val="20"/>
          <w:szCs w:val="20"/>
        </w:rPr>
        <w:t>t the</w:t>
      </w:r>
      <w:r w:rsidRPr="00CF1025">
        <w:rPr>
          <w:rFonts w:ascii="Times New Roman" w:hAnsi="Times New Roman"/>
          <w:color w:val="484849"/>
          <w:sz w:val="20"/>
          <w:szCs w:val="20"/>
        </w:rPr>
        <w:t xml:space="preserve">re </w:t>
      </w:r>
      <w:r w:rsidRPr="00CF1025">
        <w:rPr>
          <w:rFonts w:ascii="Times New Roman" w:hAnsi="Times New Roman"/>
          <w:color w:val="333333"/>
          <w:sz w:val="20"/>
          <w:szCs w:val="20"/>
        </w:rPr>
        <w:t xml:space="preserve">are many </w:t>
      </w:r>
      <w:r w:rsidRPr="00CF1025">
        <w:rPr>
          <w:rFonts w:ascii="Times New Roman" w:hAnsi="Times New Roman"/>
          <w:color w:val="484849"/>
          <w:sz w:val="20"/>
          <w:szCs w:val="20"/>
        </w:rPr>
        <w:t>aspec</w:t>
      </w:r>
      <w:r w:rsidRPr="00CF1025">
        <w:rPr>
          <w:rFonts w:ascii="Times New Roman" w:hAnsi="Times New Roman"/>
          <w:color w:val="202020"/>
          <w:sz w:val="20"/>
          <w:szCs w:val="20"/>
        </w:rPr>
        <w:t xml:space="preserve">ts </w:t>
      </w:r>
      <w:r w:rsidRPr="00CF1025">
        <w:rPr>
          <w:rFonts w:ascii="Times New Roman" w:hAnsi="Times New Roman"/>
          <w:color w:val="333333"/>
          <w:sz w:val="20"/>
          <w:szCs w:val="20"/>
        </w:rPr>
        <w:t>of NAFTA that can, and shou</w:t>
      </w:r>
      <w:r w:rsidRPr="00CF1025">
        <w:rPr>
          <w:rFonts w:ascii="Times New Roman" w:hAnsi="Times New Roman"/>
          <w:color w:val="111111"/>
          <w:sz w:val="20"/>
          <w:szCs w:val="20"/>
        </w:rPr>
        <w:t>l</w:t>
      </w:r>
      <w:r w:rsidRPr="00CF1025">
        <w:rPr>
          <w:rFonts w:ascii="Times New Roman" w:hAnsi="Times New Roman"/>
          <w:color w:val="333333"/>
          <w:sz w:val="20"/>
          <w:szCs w:val="20"/>
        </w:rPr>
        <w:t xml:space="preserve">d be, </w:t>
      </w:r>
      <w:r w:rsidRPr="00CF1025">
        <w:rPr>
          <w:rFonts w:ascii="Times New Roman" w:hAnsi="Times New Roman"/>
          <w:color w:val="202020"/>
          <w:sz w:val="20"/>
          <w:szCs w:val="20"/>
        </w:rPr>
        <w:t>modernized</w:t>
      </w:r>
      <w:r w:rsidRPr="00CF1025">
        <w:rPr>
          <w:rFonts w:ascii="Times New Roman" w:hAnsi="Times New Roman"/>
          <w:color w:val="484849"/>
          <w:sz w:val="20"/>
          <w:szCs w:val="20"/>
        </w:rPr>
        <w:t xml:space="preserve">. </w:t>
      </w:r>
      <w:r w:rsidRPr="00CF1025">
        <w:rPr>
          <w:rFonts w:ascii="Times New Roman" w:hAnsi="Times New Roman"/>
          <w:color w:val="202020"/>
          <w:sz w:val="20"/>
          <w:szCs w:val="20"/>
        </w:rPr>
        <w:t>W</w:t>
      </w:r>
      <w:r w:rsidRPr="00CF1025">
        <w:rPr>
          <w:rFonts w:ascii="Times New Roman" w:hAnsi="Times New Roman"/>
          <w:color w:val="484849"/>
          <w:sz w:val="20"/>
          <w:szCs w:val="20"/>
        </w:rPr>
        <w:t xml:space="preserve">e </w:t>
      </w:r>
      <w:r w:rsidRPr="00CF1025">
        <w:rPr>
          <w:rFonts w:ascii="Times New Roman" w:hAnsi="Times New Roman"/>
          <w:color w:val="333333"/>
          <w:sz w:val="20"/>
          <w:szCs w:val="20"/>
        </w:rPr>
        <w:t>wou</w:t>
      </w:r>
      <w:r w:rsidRPr="00CF1025">
        <w:rPr>
          <w:rFonts w:ascii="Times New Roman" w:hAnsi="Times New Roman"/>
          <w:color w:val="111111"/>
          <w:sz w:val="20"/>
          <w:szCs w:val="20"/>
        </w:rPr>
        <w:t xml:space="preserve">ld </w:t>
      </w:r>
      <w:r w:rsidRPr="00CF1025">
        <w:rPr>
          <w:rFonts w:ascii="Times New Roman" w:hAnsi="Times New Roman"/>
          <w:color w:val="333333"/>
          <w:sz w:val="20"/>
          <w:szCs w:val="20"/>
        </w:rPr>
        <w:t xml:space="preserve">support provisions </w:t>
      </w:r>
      <w:r w:rsidRPr="00CF1025">
        <w:rPr>
          <w:rFonts w:ascii="Times New Roman" w:hAnsi="Times New Roman"/>
          <w:color w:val="202020"/>
          <w:sz w:val="20"/>
          <w:szCs w:val="20"/>
        </w:rPr>
        <w:t>that preserv</w:t>
      </w:r>
      <w:r w:rsidRPr="00CF1025">
        <w:rPr>
          <w:rFonts w:ascii="Times New Roman" w:hAnsi="Times New Roman"/>
          <w:color w:val="484849"/>
          <w:sz w:val="20"/>
          <w:szCs w:val="20"/>
        </w:rPr>
        <w:t xml:space="preserve">e </w:t>
      </w:r>
      <w:r w:rsidRPr="00CF1025">
        <w:rPr>
          <w:rFonts w:ascii="Times New Roman" w:hAnsi="Times New Roman"/>
          <w:color w:val="333333"/>
          <w:sz w:val="20"/>
          <w:szCs w:val="20"/>
        </w:rPr>
        <w:t xml:space="preserve">or modernize the </w:t>
      </w:r>
      <w:r w:rsidRPr="00CF1025">
        <w:rPr>
          <w:rFonts w:ascii="Times New Roman" w:hAnsi="Times New Roman"/>
          <w:color w:val="202020"/>
          <w:sz w:val="20"/>
          <w:szCs w:val="20"/>
        </w:rPr>
        <w:t xml:space="preserve">following </w:t>
      </w:r>
      <w:r w:rsidRPr="00CF1025">
        <w:rPr>
          <w:rFonts w:ascii="Times New Roman" w:hAnsi="Times New Roman"/>
          <w:color w:val="333333"/>
          <w:sz w:val="20"/>
          <w:szCs w:val="20"/>
        </w:rPr>
        <w:t>areas: Nationa</w:t>
      </w:r>
      <w:r w:rsidRPr="00CF1025">
        <w:rPr>
          <w:rFonts w:ascii="Times New Roman" w:hAnsi="Times New Roman"/>
          <w:color w:val="111111"/>
          <w:sz w:val="20"/>
          <w:szCs w:val="20"/>
        </w:rPr>
        <w:t xml:space="preserve">l </w:t>
      </w:r>
      <w:r w:rsidRPr="00CF1025">
        <w:rPr>
          <w:rFonts w:ascii="Times New Roman" w:hAnsi="Times New Roman"/>
          <w:color w:val="333333"/>
          <w:sz w:val="20"/>
          <w:szCs w:val="20"/>
        </w:rPr>
        <w:t>Treatment/Market Access</w:t>
      </w:r>
      <w:r w:rsidRPr="00CF1025">
        <w:rPr>
          <w:rFonts w:ascii="Times New Roman" w:hAnsi="Times New Roman"/>
          <w:color w:val="202020"/>
          <w:sz w:val="20"/>
          <w:szCs w:val="20"/>
        </w:rPr>
        <w:t xml:space="preserve"> of </w:t>
      </w:r>
      <w:r w:rsidRPr="00CF1025">
        <w:rPr>
          <w:rFonts w:ascii="Times New Roman" w:hAnsi="Times New Roman"/>
          <w:color w:val="333333"/>
          <w:sz w:val="20"/>
          <w:szCs w:val="20"/>
        </w:rPr>
        <w:t>Goods; Energy; Agricu</w:t>
      </w:r>
      <w:r w:rsidRPr="00CF1025">
        <w:rPr>
          <w:rFonts w:ascii="Times New Roman" w:hAnsi="Times New Roman"/>
          <w:color w:val="111111"/>
          <w:sz w:val="20"/>
          <w:szCs w:val="20"/>
        </w:rPr>
        <w:t>ltur</w:t>
      </w:r>
      <w:r w:rsidRPr="00CF1025">
        <w:rPr>
          <w:rFonts w:ascii="Times New Roman" w:hAnsi="Times New Roman"/>
          <w:color w:val="333333"/>
          <w:sz w:val="20"/>
          <w:szCs w:val="20"/>
        </w:rPr>
        <w:t xml:space="preserve">e/Sanitary and </w:t>
      </w:r>
      <w:r w:rsidRPr="00CF1025">
        <w:rPr>
          <w:rFonts w:ascii="Times New Roman" w:hAnsi="Times New Roman"/>
          <w:color w:val="202020"/>
          <w:sz w:val="20"/>
          <w:szCs w:val="20"/>
        </w:rPr>
        <w:t xml:space="preserve">Phytosanitary </w:t>
      </w:r>
      <w:r w:rsidRPr="00CF1025">
        <w:rPr>
          <w:rFonts w:ascii="Times New Roman" w:hAnsi="Times New Roman"/>
          <w:color w:val="333333"/>
          <w:sz w:val="20"/>
          <w:szCs w:val="20"/>
        </w:rPr>
        <w:t>Standa</w:t>
      </w:r>
      <w:r w:rsidR="0096132B" w:rsidRPr="00CF1025">
        <w:rPr>
          <w:rFonts w:ascii="Times New Roman" w:hAnsi="Times New Roman"/>
          <w:color w:val="111111"/>
          <w:sz w:val="20"/>
          <w:szCs w:val="20"/>
        </w:rPr>
        <w:t>rd</w:t>
      </w:r>
      <w:r w:rsidRPr="00CF1025">
        <w:rPr>
          <w:rFonts w:ascii="Times New Roman" w:hAnsi="Times New Roman"/>
          <w:color w:val="333333"/>
          <w:sz w:val="20"/>
          <w:szCs w:val="20"/>
        </w:rPr>
        <w:t xml:space="preserve">s; </w:t>
      </w:r>
      <w:r w:rsidRPr="00CF1025">
        <w:rPr>
          <w:rFonts w:ascii="Times New Roman" w:hAnsi="Times New Roman"/>
          <w:color w:val="202020"/>
          <w:sz w:val="20"/>
          <w:szCs w:val="20"/>
        </w:rPr>
        <w:t xml:space="preserve">Technical </w:t>
      </w:r>
      <w:r w:rsidRPr="00CF1025">
        <w:rPr>
          <w:rFonts w:ascii="Times New Roman" w:hAnsi="Times New Roman"/>
          <w:color w:val="333333"/>
          <w:sz w:val="20"/>
          <w:szCs w:val="20"/>
        </w:rPr>
        <w:t xml:space="preserve">Barriers </w:t>
      </w:r>
      <w:r w:rsidRPr="00CF1025">
        <w:rPr>
          <w:rFonts w:ascii="Times New Roman" w:hAnsi="Times New Roman"/>
          <w:color w:val="202020"/>
          <w:sz w:val="20"/>
          <w:szCs w:val="20"/>
        </w:rPr>
        <w:t xml:space="preserve">to Trade; </w:t>
      </w:r>
      <w:r w:rsidRPr="00CF1025">
        <w:rPr>
          <w:rFonts w:ascii="Times New Roman" w:hAnsi="Times New Roman"/>
          <w:color w:val="333333"/>
          <w:sz w:val="20"/>
          <w:szCs w:val="20"/>
        </w:rPr>
        <w:t>and</w:t>
      </w:r>
      <w:r w:rsidRPr="00CF1025">
        <w:rPr>
          <w:rFonts w:ascii="Times New Roman" w:hAnsi="Times New Roman"/>
          <w:color w:val="111111"/>
          <w:sz w:val="20"/>
          <w:szCs w:val="20"/>
        </w:rPr>
        <w:t xml:space="preserve"> </w:t>
      </w:r>
      <w:r w:rsidRPr="00CF1025">
        <w:rPr>
          <w:rFonts w:ascii="Times New Roman" w:hAnsi="Times New Roman"/>
          <w:color w:val="333333"/>
          <w:sz w:val="20"/>
          <w:szCs w:val="20"/>
        </w:rPr>
        <w:t>Bio</w:t>
      </w:r>
      <w:r w:rsidRPr="00CF1025">
        <w:rPr>
          <w:rFonts w:ascii="Times New Roman" w:hAnsi="Times New Roman"/>
          <w:color w:val="111111"/>
          <w:sz w:val="20"/>
          <w:szCs w:val="20"/>
        </w:rPr>
        <w:t>t</w:t>
      </w:r>
      <w:r w:rsidRPr="00CF1025">
        <w:rPr>
          <w:rFonts w:ascii="Times New Roman" w:hAnsi="Times New Roman"/>
          <w:color w:val="333333"/>
          <w:sz w:val="20"/>
          <w:szCs w:val="20"/>
        </w:rPr>
        <w:t>echno</w:t>
      </w:r>
      <w:r w:rsidRPr="00CF1025">
        <w:rPr>
          <w:rFonts w:ascii="Times New Roman" w:hAnsi="Times New Roman"/>
          <w:color w:val="111111"/>
          <w:sz w:val="20"/>
          <w:szCs w:val="20"/>
        </w:rPr>
        <w:t>l</w:t>
      </w:r>
      <w:r w:rsidRPr="00CF1025">
        <w:rPr>
          <w:rFonts w:ascii="Times New Roman" w:hAnsi="Times New Roman"/>
          <w:color w:val="333333"/>
          <w:sz w:val="20"/>
          <w:szCs w:val="20"/>
        </w:rPr>
        <w:t xml:space="preserve">ogy and </w:t>
      </w:r>
      <w:r w:rsidRPr="00CF1025">
        <w:rPr>
          <w:rFonts w:ascii="Times New Roman" w:hAnsi="Times New Roman"/>
          <w:color w:val="202020"/>
          <w:sz w:val="20"/>
          <w:szCs w:val="20"/>
        </w:rPr>
        <w:t xml:space="preserve">Regulatory </w:t>
      </w:r>
      <w:r w:rsidRPr="00CF1025">
        <w:rPr>
          <w:rFonts w:ascii="Times New Roman" w:hAnsi="Times New Roman"/>
          <w:color w:val="333333"/>
          <w:sz w:val="20"/>
          <w:szCs w:val="20"/>
        </w:rPr>
        <w:t xml:space="preserve">Cooperation. </w:t>
      </w:r>
      <w:r w:rsidRPr="00CF1025">
        <w:rPr>
          <w:rFonts w:ascii="Times New Roman" w:hAnsi="Times New Roman"/>
          <w:color w:val="202020"/>
          <w:sz w:val="20"/>
          <w:szCs w:val="20"/>
        </w:rPr>
        <w:t>During the upcoming negotiation</w:t>
      </w:r>
      <w:r w:rsidRPr="00CF1025">
        <w:rPr>
          <w:rFonts w:ascii="Times New Roman" w:hAnsi="Times New Roman"/>
          <w:color w:val="484849"/>
          <w:sz w:val="20"/>
          <w:szCs w:val="20"/>
        </w:rPr>
        <w:t xml:space="preserve">s, </w:t>
      </w:r>
      <w:r w:rsidRPr="00CF1025">
        <w:rPr>
          <w:rFonts w:ascii="Times New Roman" w:hAnsi="Times New Roman"/>
          <w:color w:val="333333"/>
          <w:sz w:val="20"/>
          <w:szCs w:val="20"/>
        </w:rPr>
        <w:t>we shou</w:t>
      </w:r>
      <w:r w:rsidRPr="00CF1025">
        <w:rPr>
          <w:rFonts w:ascii="Times New Roman" w:hAnsi="Times New Roman"/>
          <w:color w:val="111111"/>
          <w:sz w:val="20"/>
          <w:szCs w:val="20"/>
        </w:rPr>
        <w:t xml:space="preserve">ld </w:t>
      </w:r>
      <w:r w:rsidRPr="00CF1025">
        <w:rPr>
          <w:rFonts w:ascii="Times New Roman" w:hAnsi="Times New Roman"/>
          <w:color w:val="202020"/>
          <w:sz w:val="20"/>
          <w:szCs w:val="20"/>
        </w:rPr>
        <w:t>look for</w:t>
      </w:r>
      <w:r w:rsidRPr="00CF1025">
        <w:rPr>
          <w:rFonts w:ascii="Times New Roman" w:hAnsi="Times New Roman"/>
          <w:color w:val="111111"/>
          <w:sz w:val="20"/>
          <w:szCs w:val="20"/>
        </w:rPr>
        <w:t xml:space="preserve"> </w:t>
      </w:r>
      <w:r w:rsidRPr="00CF1025">
        <w:rPr>
          <w:rFonts w:ascii="Times New Roman" w:hAnsi="Times New Roman"/>
          <w:color w:val="333333"/>
          <w:sz w:val="20"/>
          <w:szCs w:val="20"/>
        </w:rPr>
        <w:t>opportun</w:t>
      </w:r>
      <w:r w:rsidRPr="00CF1025">
        <w:rPr>
          <w:rFonts w:ascii="Times New Roman" w:hAnsi="Times New Roman"/>
          <w:color w:val="111111"/>
          <w:sz w:val="20"/>
          <w:szCs w:val="20"/>
        </w:rPr>
        <w:t>i</w:t>
      </w:r>
      <w:r w:rsidR="0096132B" w:rsidRPr="00CF1025">
        <w:rPr>
          <w:rFonts w:ascii="Times New Roman" w:hAnsi="Times New Roman"/>
          <w:color w:val="333333"/>
          <w:sz w:val="20"/>
          <w:szCs w:val="20"/>
        </w:rPr>
        <w:t>t</w:t>
      </w:r>
      <w:r w:rsidRPr="00CF1025">
        <w:rPr>
          <w:rFonts w:ascii="Times New Roman" w:hAnsi="Times New Roman"/>
          <w:color w:val="111111"/>
          <w:sz w:val="20"/>
          <w:szCs w:val="20"/>
        </w:rPr>
        <w:t>i</w:t>
      </w:r>
      <w:r w:rsidRPr="00CF1025">
        <w:rPr>
          <w:rFonts w:ascii="Times New Roman" w:hAnsi="Times New Roman"/>
          <w:color w:val="484849"/>
          <w:sz w:val="20"/>
          <w:szCs w:val="20"/>
        </w:rPr>
        <w:t xml:space="preserve">es </w:t>
      </w:r>
      <w:r w:rsidRPr="00CF1025">
        <w:rPr>
          <w:rFonts w:ascii="Times New Roman" w:hAnsi="Times New Roman"/>
          <w:color w:val="333333"/>
          <w:sz w:val="20"/>
          <w:szCs w:val="20"/>
        </w:rPr>
        <w:t xml:space="preserve">to </w:t>
      </w:r>
      <w:r w:rsidRPr="00CF1025">
        <w:rPr>
          <w:rFonts w:ascii="Times New Roman" w:hAnsi="Times New Roman"/>
          <w:color w:val="202020"/>
          <w:sz w:val="20"/>
          <w:szCs w:val="20"/>
        </w:rPr>
        <w:t xml:space="preserve">improve regulation </w:t>
      </w:r>
      <w:r w:rsidRPr="00CF1025">
        <w:rPr>
          <w:rFonts w:ascii="Times New Roman" w:hAnsi="Times New Roman"/>
          <w:color w:val="333333"/>
          <w:sz w:val="20"/>
          <w:szCs w:val="20"/>
        </w:rPr>
        <w:t xml:space="preserve">of crop </w:t>
      </w:r>
      <w:r w:rsidRPr="00CF1025">
        <w:rPr>
          <w:rFonts w:ascii="Times New Roman" w:hAnsi="Times New Roman"/>
          <w:color w:val="202020"/>
          <w:sz w:val="20"/>
          <w:szCs w:val="20"/>
        </w:rPr>
        <w:t xml:space="preserve">protection </w:t>
      </w:r>
      <w:r w:rsidRPr="00CF1025">
        <w:rPr>
          <w:rFonts w:ascii="Times New Roman" w:hAnsi="Times New Roman"/>
          <w:color w:val="333333"/>
          <w:sz w:val="20"/>
          <w:szCs w:val="20"/>
        </w:rPr>
        <w:t>chemica</w:t>
      </w:r>
      <w:r w:rsidRPr="00CF1025">
        <w:rPr>
          <w:rFonts w:ascii="Times New Roman" w:hAnsi="Times New Roman"/>
          <w:color w:val="111111"/>
          <w:sz w:val="20"/>
          <w:szCs w:val="20"/>
        </w:rPr>
        <w:t>l</w:t>
      </w:r>
      <w:r w:rsidRPr="00CF1025">
        <w:rPr>
          <w:rFonts w:ascii="Times New Roman" w:hAnsi="Times New Roman"/>
          <w:color w:val="333333"/>
          <w:sz w:val="20"/>
          <w:szCs w:val="20"/>
        </w:rPr>
        <w:t>s</w:t>
      </w:r>
      <w:r w:rsidRPr="00CF1025">
        <w:rPr>
          <w:rFonts w:ascii="Times New Roman" w:hAnsi="Times New Roman"/>
          <w:color w:val="6E6C6E"/>
          <w:sz w:val="20"/>
          <w:szCs w:val="20"/>
        </w:rPr>
        <w:t xml:space="preserve">. </w:t>
      </w:r>
      <w:r w:rsidRPr="00CF1025">
        <w:rPr>
          <w:rFonts w:ascii="Times New Roman" w:hAnsi="Times New Roman"/>
          <w:color w:val="202020"/>
          <w:sz w:val="20"/>
          <w:szCs w:val="20"/>
        </w:rPr>
        <w:t xml:space="preserve">NAFTA </w:t>
      </w:r>
      <w:r w:rsidRPr="00CF1025">
        <w:rPr>
          <w:rFonts w:ascii="Times New Roman" w:hAnsi="Times New Roman"/>
          <w:color w:val="333333"/>
          <w:sz w:val="20"/>
          <w:szCs w:val="20"/>
        </w:rPr>
        <w:t xml:space="preserve">has </w:t>
      </w:r>
      <w:r w:rsidRPr="00CF1025">
        <w:rPr>
          <w:rFonts w:ascii="Times New Roman" w:hAnsi="Times New Roman"/>
          <w:color w:val="202020"/>
          <w:sz w:val="20"/>
          <w:szCs w:val="20"/>
        </w:rPr>
        <w:t xml:space="preserve">facilitated </w:t>
      </w:r>
      <w:r w:rsidRPr="00CF1025">
        <w:rPr>
          <w:rFonts w:ascii="Times New Roman" w:hAnsi="Times New Roman"/>
          <w:color w:val="333333"/>
          <w:sz w:val="20"/>
          <w:szCs w:val="20"/>
        </w:rPr>
        <w:t>efficient risk</w:t>
      </w:r>
      <w:r w:rsidRPr="00CF1025">
        <w:rPr>
          <w:rFonts w:ascii="Times New Roman" w:hAnsi="Times New Roman"/>
          <w:color w:val="111111"/>
          <w:sz w:val="20"/>
          <w:szCs w:val="20"/>
        </w:rPr>
        <w:t xml:space="preserve"> </w:t>
      </w:r>
      <w:r w:rsidRPr="00CF1025">
        <w:rPr>
          <w:rFonts w:ascii="Times New Roman" w:hAnsi="Times New Roman"/>
          <w:color w:val="333333"/>
          <w:sz w:val="20"/>
          <w:szCs w:val="20"/>
        </w:rPr>
        <w:t xml:space="preserve">assessments </w:t>
      </w:r>
      <w:r w:rsidRPr="00CF1025">
        <w:rPr>
          <w:rFonts w:ascii="Times New Roman" w:hAnsi="Times New Roman"/>
          <w:color w:val="202020"/>
          <w:sz w:val="20"/>
          <w:szCs w:val="20"/>
        </w:rPr>
        <w:t>for n</w:t>
      </w:r>
      <w:r w:rsidRPr="00CF1025">
        <w:rPr>
          <w:rFonts w:ascii="Times New Roman" w:hAnsi="Times New Roman"/>
          <w:color w:val="484849"/>
          <w:sz w:val="20"/>
          <w:szCs w:val="20"/>
        </w:rPr>
        <w:t xml:space="preserve">ew </w:t>
      </w:r>
      <w:r w:rsidRPr="00CF1025">
        <w:rPr>
          <w:rFonts w:ascii="Times New Roman" w:hAnsi="Times New Roman"/>
          <w:color w:val="333333"/>
          <w:sz w:val="20"/>
          <w:szCs w:val="20"/>
        </w:rPr>
        <w:t xml:space="preserve">crop </w:t>
      </w:r>
      <w:r w:rsidRPr="00CF1025">
        <w:rPr>
          <w:rFonts w:ascii="Times New Roman" w:hAnsi="Times New Roman"/>
          <w:color w:val="202020"/>
          <w:sz w:val="20"/>
          <w:szCs w:val="20"/>
        </w:rPr>
        <w:t>prot</w:t>
      </w:r>
      <w:r w:rsidRPr="00CF1025">
        <w:rPr>
          <w:rFonts w:ascii="Times New Roman" w:hAnsi="Times New Roman"/>
          <w:color w:val="484849"/>
          <w:sz w:val="20"/>
          <w:szCs w:val="20"/>
        </w:rPr>
        <w:t>ect</w:t>
      </w:r>
      <w:r w:rsidRPr="00CF1025">
        <w:rPr>
          <w:rFonts w:ascii="Times New Roman" w:hAnsi="Times New Roman"/>
          <w:color w:val="202020"/>
          <w:sz w:val="20"/>
          <w:szCs w:val="20"/>
        </w:rPr>
        <w:t xml:space="preserve">ion </w:t>
      </w:r>
      <w:r w:rsidRPr="00CF1025">
        <w:rPr>
          <w:rFonts w:ascii="Times New Roman" w:hAnsi="Times New Roman"/>
          <w:color w:val="333333"/>
          <w:sz w:val="20"/>
          <w:szCs w:val="20"/>
        </w:rPr>
        <w:t>products by encouraging jo</w:t>
      </w:r>
      <w:r w:rsidRPr="00CF1025">
        <w:rPr>
          <w:rFonts w:ascii="Times New Roman" w:hAnsi="Times New Roman"/>
          <w:color w:val="111111"/>
          <w:sz w:val="20"/>
          <w:szCs w:val="20"/>
        </w:rPr>
        <w:t xml:space="preserve">int </w:t>
      </w:r>
      <w:r w:rsidRPr="00CF1025">
        <w:rPr>
          <w:rFonts w:ascii="Times New Roman" w:hAnsi="Times New Roman"/>
          <w:color w:val="202020"/>
          <w:sz w:val="20"/>
          <w:szCs w:val="20"/>
        </w:rPr>
        <w:t>review</w:t>
      </w:r>
      <w:r w:rsidRPr="00CF1025">
        <w:rPr>
          <w:rFonts w:ascii="Times New Roman" w:hAnsi="Times New Roman"/>
          <w:color w:val="484849"/>
          <w:sz w:val="20"/>
          <w:szCs w:val="20"/>
        </w:rPr>
        <w:t xml:space="preserve">s </w:t>
      </w:r>
      <w:r w:rsidRPr="00CF1025">
        <w:rPr>
          <w:rFonts w:ascii="Times New Roman" w:hAnsi="Times New Roman"/>
          <w:color w:val="333333"/>
          <w:sz w:val="20"/>
          <w:szCs w:val="20"/>
        </w:rPr>
        <w:t xml:space="preserve">of data </w:t>
      </w:r>
      <w:r w:rsidRPr="00CF1025">
        <w:rPr>
          <w:rFonts w:ascii="Times New Roman" w:hAnsi="Times New Roman"/>
          <w:color w:val="202020"/>
          <w:sz w:val="20"/>
          <w:szCs w:val="20"/>
        </w:rPr>
        <w:t xml:space="preserve">by </w:t>
      </w:r>
      <w:r w:rsidRPr="00CF1025">
        <w:rPr>
          <w:rFonts w:ascii="Times New Roman" w:hAnsi="Times New Roman"/>
          <w:color w:val="333333"/>
          <w:sz w:val="20"/>
          <w:szCs w:val="20"/>
        </w:rPr>
        <w:t>the appropriate</w:t>
      </w:r>
      <w:r w:rsidRPr="00CF1025">
        <w:rPr>
          <w:rFonts w:ascii="Times New Roman" w:hAnsi="Times New Roman"/>
          <w:color w:val="111111"/>
          <w:sz w:val="20"/>
          <w:szCs w:val="20"/>
        </w:rPr>
        <w:t xml:space="preserve"> </w:t>
      </w:r>
      <w:r w:rsidR="0096132B" w:rsidRPr="00CF1025">
        <w:rPr>
          <w:rFonts w:ascii="Times New Roman" w:hAnsi="Times New Roman"/>
          <w:color w:val="333333"/>
          <w:sz w:val="20"/>
          <w:szCs w:val="20"/>
        </w:rPr>
        <w:t>regu</w:t>
      </w:r>
      <w:r w:rsidRPr="00CF1025">
        <w:rPr>
          <w:rFonts w:ascii="Times New Roman" w:hAnsi="Times New Roman"/>
          <w:color w:val="111111"/>
          <w:sz w:val="20"/>
          <w:szCs w:val="20"/>
        </w:rPr>
        <w:t>l</w:t>
      </w:r>
      <w:r w:rsidRPr="00CF1025">
        <w:rPr>
          <w:rFonts w:ascii="Times New Roman" w:hAnsi="Times New Roman"/>
          <w:color w:val="333333"/>
          <w:sz w:val="20"/>
          <w:szCs w:val="20"/>
        </w:rPr>
        <w:t>atory agencies; we can bui</w:t>
      </w:r>
      <w:r w:rsidRPr="00CF1025">
        <w:rPr>
          <w:rFonts w:ascii="Times New Roman" w:hAnsi="Times New Roman"/>
          <w:color w:val="111111"/>
          <w:sz w:val="20"/>
          <w:szCs w:val="20"/>
        </w:rPr>
        <w:t>ld u</w:t>
      </w:r>
      <w:r w:rsidRPr="00CF1025">
        <w:rPr>
          <w:rFonts w:ascii="Times New Roman" w:hAnsi="Times New Roman"/>
          <w:color w:val="333333"/>
          <w:sz w:val="20"/>
          <w:szCs w:val="20"/>
        </w:rPr>
        <w:t xml:space="preserve">pon </w:t>
      </w:r>
      <w:r w:rsidRPr="00CF1025">
        <w:rPr>
          <w:rFonts w:ascii="Times New Roman" w:hAnsi="Times New Roman"/>
          <w:color w:val="202020"/>
          <w:sz w:val="20"/>
          <w:szCs w:val="20"/>
        </w:rPr>
        <w:t>that progr</w:t>
      </w:r>
      <w:r w:rsidRPr="00CF1025">
        <w:rPr>
          <w:rFonts w:ascii="Times New Roman" w:hAnsi="Times New Roman"/>
          <w:color w:val="484849"/>
          <w:sz w:val="20"/>
          <w:szCs w:val="20"/>
        </w:rPr>
        <w:t xml:space="preserve">ess. </w:t>
      </w:r>
      <w:r w:rsidRPr="00CF1025">
        <w:rPr>
          <w:rFonts w:ascii="Times New Roman" w:hAnsi="Times New Roman"/>
          <w:color w:val="333333"/>
          <w:sz w:val="20"/>
          <w:szCs w:val="20"/>
        </w:rPr>
        <w:t xml:space="preserve">Common </w:t>
      </w:r>
      <w:r w:rsidRPr="00CF1025">
        <w:rPr>
          <w:rFonts w:ascii="Times New Roman" w:hAnsi="Times New Roman"/>
          <w:color w:val="202020"/>
          <w:sz w:val="20"/>
          <w:szCs w:val="20"/>
        </w:rPr>
        <w:t>registration d</w:t>
      </w:r>
      <w:r w:rsidRPr="00CF1025">
        <w:rPr>
          <w:rFonts w:ascii="Times New Roman" w:hAnsi="Times New Roman"/>
          <w:color w:val="484849"/>
          <w:sz w:val="20"/>
          <w:szCs w:val="20"/>
        </w:rPr>
        <w:t xml:space="preserve">ata </w:t>
      </w:r>
      <w:r w:rsidRPr="00CF1025">
        <w:rPr>
          <w:rFonts w:ascii="Times New Roman" w:hAnsi="Times New Roman"/>
          <w:color w:val="202020"/>
          <w:sz w:val="20"/>
          <w:szCs w:val="20"/>
        </w:rPr>
        <w:t>r</w:t>
      </w:r>
      <w:r w:rsidRPr="00CF1025">
        <w:rPr>
          <w:rFonts w:ascii="Times New Roman" w:hAnsi="Times New Roman"/>
          <w:color w:val="484849"/>
          <w:sz w:val="20"/>
          <w:szCs w:val="20"/>
        </w:rPr>
        <w:t>e</w:t>
      </w:r>
      <w:r w:rsidRPr="00CF1025">
        <w:rPr>
          <w:rFonts w:ascii="Times New Roman" w:hAnsi="Times New Roman"/>
          <w:color w:val="202020"/>
          <w:sz w:val="20"/>
          <w:szCs w:val="20"/>
        </w:rPr>
        <w:t>quirement</w:t>
      </w:r>
      <w:r w:rsidRPr="00CF1025">
        <w:rPr>
          <w:rFonts w:ascii="Times New Roman" w:hAnsi="Times New Roman"/>
          <w:color w:val="484849"/>
          <w:sz w:val="20"/>
          <w:szCs w:val="20"/>
        </w:rPr>
        <w:t xml:space="preserve">s </w:t>
      </w:r>
      <w:r w:rsidRPr="00CF1025">
        <w:rPr>
          <w:rFonts w:ascii="Times New Roman" w:hAnsi="Times New Roman"/>
          <w:color w:val="333333"/>
          <w:sz w:val="20"/>
          <w:szCs w:val="20"/>
        </w:rPr>
        <w:t xml:space="preserve">and </w:t>
      </w:r>
      <w:r w:rsidRPr="00CF1025">
        <w:rPr>
          <w:rFonts w:ascii="Times New Roman" w:hAnsi="Times New Roman"/>
          <w:color w:val="202020"/>
          <w:sz w:val="20"/>
          <w:szCs w:val="20"/>
        </w:rPr>
        <w:t>data</w:t>
      </w:r>
      <w:r w:rsidR="0096132B" w:rsidRPr="00CF1025">
        <w:rPr>
          <w:rFonts w:ascii="Times New Roman" w:hAnsi="Times New Roman"/>
          <w:color w:val="111111"/>
          <w:sz w:val="20"/>
          <w:szCs w:val="20"/>
        </w:rPr>
        <w:t xml:space="preserve"> </w:t>
      </w:r>
      <w:r w:rsidRPr="00CF1025">
        <w:rPr>
          <w:rFonts w:ascii="Times New Roman" w:hAnsi="Times New Roman"/>
          <w:color w:val="333333"/>
          <w:sz w:val="20"/>
          <w:szCs w:val="20"/>
        </w:rPr>
        <w:t>interp</w:t>
      </w:r>
      <w:r w:rsidRPr="00CF1025">
        <w:rPr>
          <w:rFonts w:ascii="Times New Roman" w:hAnsi="Times New Roman"/>
          <w:color w:val="111111"/>
          <w:sz w:val="20"/>
          <w:szCs w:val="20"/>
        </w:rPr>
        <w:t>r</w:t>
      </w:r>
      <w:r w:rsidRPr="00CF1025">
        <w:rPr>
          <w:rFonts w:ascii="Times New Roman" w:hAnsi="Times New Roman"/>
          <w:color w:val="333333"/>
          <w:sz w:val="20"/>
          <w:szCs w:val="20"/>
        </w:rPr>
        <w:t xml:space="preserve">etation increase </w:t>
      </w:r>
      <w:r w:rsidRPr="00CF1025">
        <w:rPr>
          <w:rFonts w:ascii="Times New Roman" w:hAnsi="Times New Roman"/>
          <w:color w:val="484849"/>
          <w:sz w:val="20"/>
          <w:szCs w:val="20"/>
        </w:rPr>
        <w:t>e</w:t>
      </w:r>
      <w:r w:rsidRPr="00CF1025">
        <w:rPr>
          <w:rFonts w:ascii="Times New Roman" w:hAnsi="Times New Roman"/>
          <w:color w:val="202020"/>
          <w:sz w:val="20"/>
          <w:szCs w:val="20"/>
        </w:rPr>
        <w:t>ffici</w:t>
      </w:r>
      <w:r w:rsidRPr="00CF1025">
        <w:rPr>
          <w:rFonts w:ascii="Times New Roman" w:hAnsi="Times New Roman"/>
          <w:color w:val="484849"/>
          <w:sz w:val="20"/>
          <w:szCs w:val="20"/>
        </w:rPr>
        <w:t>e</w:t>
      </w:r>
      <w:r w:rsidRPr="00CF1025">
        <w:rPr>
          <w:rFonts w:ascii="Times New Roman" w:hAnsi="Times New Roman"/>
          <w:color w:val="202020"/>
          <w:sz w:val="20"/>
          <w:szCs w:val="20"/>
        </w:rPr>
        <w:t>nci</w:t>
      </w:r>
      <w:r w:rsidRPr="00CF1025">
        <w:rPr>
          <w:rFonts w:ascii="Times New Roman" w:hAnsi="Times New Roman"/>
          <w:color w:val="484849"/>
          <w:sz w:val="20"/>
          <w:szCs w:val="20"/>
        </w:rPr>
        <w:t xml:space="preserve">es </w:t>
      </w:r>
      <w:r w:rsidR="0096132B" w:rsidRPr="00CF1025">
        <w:rPr>
          <w:rFonts w:ascii="Times New Roman" w:hAnsi="Times New Roman"/>
          <w:color w:val="333333"/>
          <w:sz w:val="20"/>
          <w:szCs w:val="20"/>
        </w:rPr>
        <w:t>and resu</w:t>
      </w:r>
      <w:r w:rsidRPr="00CF1025">
        <w:rPr>
          <w:rFonts w:ascii="Times New Roman" w:hAnsi="Times New Roman"/>
          <w:color w:val="111111"/>
          <w:sz w:val="20"/>
          <w:szCs w:val="20"/>
        </w:rPr>
        <w:t>l</w:t>
      </w:r>
      <w:r w:rsidRPr="00CF1025">
        <w:rPr>
          <w:rFonts w:ascii="Times New Roman" w:hAnsi="Times New Roman"/>
          <w:color w:val="333333"/>
          <w:sz w:val="20"/>
          <w:szCs w:val="20"/>
        </w:rPr>
        <w:t xml:space="preserve">t </w:t>
      </w:r>
      <w:r w:rsidRPr="00CF1025">
        <w:rPr>
          <w:rFonts w:ascii="Times New Roman" w:hAnsi="Times New Roman"/>
          <w:color w:val="202020"/>
          <w:sz w:val="20"/>
          <w:szCs w:val="20"/>
        </w:rPr>
        <w:t xml:space="preserve">in </w:t>
      </w:r>
      <w:r w:rsidRPr="00CF1025">
        <w:rPr>
          <w:rFonts w:ascii="Times New Roman" w:hAnsi="Times New Roman"/>
          <w:color w:val="333333"/>
          <w:sz w:val="20"/>
          <w:szCs w:val="20"/>
        </w:rPr>
        <w:t>s</w:t>
      </w:r>
      <w:r w:rsidRPr="00CF1025">
        <w:rPr>
          <w:rFonts w:ascii="Times New Roman" w:hAnsi="Times New Roman"/>
          <w:color w:val="111111"/>
          <w:sz w:val="20"/>
          <w:szCs w:val="20"/>
        </w:rPr>
        <w:t>i</w:t>
      </w:r>
      <w:r w:rsidRPr="00CF1025">
        <w:rPr>
          <w:rFonts w:ascii="Times New Roman" w:hAnsi="Times New Roman"/>
          <w:color w:val="333333"/>
          <w:sz w:val="20"/>
          <w:szCs w:val="20"/>
        </w:rPr>
        <w:t>g</w:t>
      </w:r>
      <w:r w:rsidRPr="00CF1025">
        <w:rPr>
          <w:rFonts w:ascii="Times New Roman" w:hAnsi="Times New Roman"/>
          <w:color w:val="111111"/>
          <w:sz w:val="20"/>
          <w:szCs w:val="20"/>
        </w:rPr>
        <w:t>ni</w:t>
      </w:r>
      <w:r w:rsidRPr="00CF1025">
        <w:rPr>
          <w:rFonts w:ascii="Times New Roman" w:hAnsi="Times New Roman"/>
          <w:color w:val="333333"/>
          <w:sz w:val="20"/>
          <w:szCs w:val="20"/>
        </w:rPr>
        <w:t xml:space="preserve">ficant </w:t>
      </w:r>
      <w:r w:rsidRPr="00CF1025">
        <w:rPr>
          <w:rFonts w:ascii="Times New Roman" w:hAnsi="Times New Roman"/>
          <w:color w:val="484849"/>
          <w:sz w:val="20"/>
          <w:szCs w:val="20"/>
        </w:rPr>
        <w:t xml:space="preserve">cost </w:t>
      </w:r>
      <w:r w:rsidRPr="00CF1025">
        <w:rPr>
          <w:rFonts w:ascii="Times New Roman" w:hAnsi="Times New Roman"/>
          <w:color w:val="333333"/>
          <w:sz w:val="20"/>
          <w:szCs w:val="20"/>
        </w:rPr>
        <w:t xml:space="preserve">savings for companies, </w:t>
      </w:r>
      <w:r w:rsidRPr="00CF1025">
        <w:rPr>
          <w:rFonts w:ascii="Times New Roman" w:hAnsi="Times New Roman"/>
          <w:color w:val="202020"/>
          <w:sz w:val="20"/>
          <w:szCs w:val="20"/>
        </w:rPr>
        <w:t>farmer</w:t>
      </w:r>
      <w:r w:rsidRPr="00CF1025">
        <w:rPr>
          <w:rFonts w:ascii="Times New Roman" w:hAnsi="Times New Roman"/>
          <w:color w:val="484849"/>
          <w:sz w:val="20"/>
          <w:szCs w:val="20"/>
        </w:rPr>
        <w:t xml:space="preserve">s, </w:t>
      </w:r>
      <w:r w:rsidRPr="00CF1025">
        <w:rPr>
          <w:rFonts w:ascii="Times New Roman" w:hAnsi="Times New Roman"/>
          <w:color w:val="333333"/>
          <w:sz w:val="20"/>
          <w:szCs w:val="20"/>
        </w:rPr>
        <w:t xml:space="preserve">and customers. </w:t>
      </w:r>
      <w:r w:rsidRPr="00CF1025">
        <w:rPr>
          <w:rFonts w:ascii="Times New Roman" w:hAnsi="Times New Roman"/>
          <w:color w:val="202020"/>
          <w:sz w:val="20"/>
          <w:szCs w:val="20"/>
        </w:rPr>
        <w:t xml:space="preserve">NAFTA </w:t>
      </w:r>
      <w:r w:rsidRPr="00CF1025">
        <w:rPr>
          <w:rFonts w:ascii="Times New Roman" w:hAnsi="Times New Roman"/>
          <w:color w:val="333333"/>
          <w:sz w:val="20"/>
          <w:szCs w:val="20"/>
        </w:rPr>
        <w:t>also e</w:t>
      </w:r>
      <w:r w:rsidRPr="00CF1025">
        <w:rPr>
          <w:rFonts w:ascii="Times New Roman" w:hAnsi="Times New Roman"/>
          <w:color w:val="111111"/>
          <w:sz w:val="20"/>
          <w:szCs w:val="20"/>
        </w:rPr>
        <w:t>n</w:t>
      </w:r>
      <w:r w:rsidRPr="00CF1025">
        <w:rPr>
          <w:rFonts w:ascii="Times New Roman" w:hAnsi="Times New Roman"/>
          <w:color w:val="333333"/>
          <w:sz w:val="20"/>
          <w:szCs w:val="20"/>
        </w:rPr>
        <w:t>courages ident</w:t>
      </w:r>
      <w:r w:rsidRPr="00CF1025">
        <w:rPr>
          <w:rFonts w:ascii="Times New Roman" w:hAnsi="Times New Roman"/>
          <w:color w:val="111111"/>
          <w:sz w:val="20"/>
          <w:szCs w:val="20"/>
        </w:rPr>
        <w:t>ifi</w:t>
      </w:r>
      <w:r w:rsidR="0096132B" w:rsidRPr="00CF1025">
        <w:rPr>
          <w:rFonts w:ascii="Times New Roman" w:hAnsi="Times New Roman"/>
          <w:color w:val="333333"/>
          <w:sz w:val="20"/>
          <w:szCs w:val="20"/>
        </w:rPr>
        <w:t>cation of trade bar</w:t>
      </w:r>
      <w:r w:rsidRPr="00CF1025">
        <w:rPr>
          <w:rFonts w:ascii="Times New Roman" w:hAnsi="Times New Roman"/>
          <w:color w:val="111111"/>
          <w:sz w:val="20"/>
          <w:szCs w:val="20"/>
        </w:rPr>
        <w:t>r</w:t>
      </w:r>
      <w:r w:rsidRPr="00CF1025">
        <w:rPr>
          <w:rFonts w:ascii="Times New Roman" w:hAnsi="Times New Roman"/>
          <w:color w:val="333333"/>
          <w:sz w:val="20"/>
          <w:szCs w:val="20"/>
        </w:rPr>
        <w:t>ie</w:t>
      </w:r>
      <w:r w:rsidRPr="00CF1025">
        <w:rPr>
          <w:rFonts w:ascii="Times New Roman" w:hAnsi="Times New Roman"/>
          <w:color w:val="111111"/>
          <w:sz w:val="20"/>
          <w:szCs w:val="20"/>
        </w:rPr>
        <w:t>r</w:t>
      </w:r>
      <w:r w:rsidRPr="00CF1025">
        <w:rPr>
          <w:rFonts w:ascii="Times New Roman" w:hAnsi="Times New Roman"/>
          <w:color w:val="333333"/>
          <w:sz w:val="20"/>
          <w:szCs w:val="20"/>
        </w:rPr>
        <w:t xml:space="preserve">s, </w:t>
      </w:r>
      <w:r w:rsidRPr="00CF1025">
        <w:rPr>
          <w:rFonts w:ascii="Times New Roman" w:hAnsi="Times New Roman"/>
          <w:color w:val="202020"/>
          <w:sz w:val="20"/>
          <w:szCs w:val="20"/>
        </w:rPr>
        <w:t>leading indu</w:t>
      </w:r>
      <w:r w:rsidRPr="00CF1025">
        <w:rPr>
          <w:rFonts w:ascii="Times New Roman" w:hAnsi="Times New Roman"/>
          <w:color w:val="484849"/>
          <w:sz w:val="20"/>
          <w:szCs w:val="20"/>
        </w:rPr>
        <w:t>st</w:t>
      </w:r>
      <w:r w:rsidRPr="00CF1025">
        <w:rPr>
          <w:rFonts w:ascii="Times New Roman" w:hAnsi="Times New Roman"/>
          <w:color w:val="202020"/>
          <w:sz w:val="20"/>
          <w:szCs w:val="20"/>
        </w:rPr>
        <w:t xml:space="preserve">ry </w:t>
      </w:r>
      <w:r w:rsidRPr="00CF1025">
        <w:rPr>
          <w:rFonts w:ascii="Times New Roman" w:hAnsi="Times New Roman"/>
          <w:color w:val="333333"/>
          <w:sz w:val="20"/>
          <w:szCs w:val="20"/>
        </w:rPr>
        <w:t>a</w:t>
      </w:r>
      <w:r w:rsidRPr="00CF1025">
        <w:rPr>
          <w:rFonts w:ascii="Times New Roman" w:hAnsi="Times New Roman"/>
          <w:color w:val="111111"/>
          <w:sz w:val="20"/>
          <w:szCs w:val="20"/>
        </w:rPr>
        <w:t xml:space="preserve">nd </w:t>
      </w:r>
      <w:r w:rsidRPr="00CF1025">
        <w:rPr>
          <w:rFonts w:ascii="Times New Roman" w:hAnsi="Times New Roman"/>
          <w:color w:val="202020"/>
          <w:sz w:val="20"/>
          <w:szCs w:val="20"/>
        </w:rPr>
        <w:t>regulatory</w:t>
      </w:r>
      <w:r w:rsidRPr="00CF1025">
        <w:rPr>
          <w:rFonts w:ascii="Times New Roman" w:hAnsi="Times New Roman"/>
          <w:color w:val="333333"/>
          <w:sz w:val="20"/>
          <w:szCs w:val="20"/>
        </w:rPr>
        <w:t xml:space="preserve"> age</w:t>
      </w:r>
      <w:r w:rsidRPr="00CF1025">
        <w:rPr>
          <w:rFonts w:ascii="Times New Roman" w:hAnsi="Times New Roman"/>
          <w:color w:val="111111"/>
          <w:sz w:val="20"/>
          <w:szCs w:val="20"/>
        </w:rPr>
        <w:t>nci</w:t>
      </w:r>
      <w:r w:rsidRPr="00CF1025">
        <w:rPr>
          <w:rFonts w:ascii="Times New Roman" w:hAnsi="Times New Roman"/>
          <w:color w:val="333333"/>
          <w:sz w:val="20"/>
          <w:szCs w:val="20"/>
        </w:rPr>
        <w:t xml:space="preserve">es </w:t>
      </w:r>
      <w:r w:rsidRPr="00CF1025">
        <w:rPr>
          <w:rFonts w:ascii="Times New Roman" w:hAnsi="Times New Roman"/>
          <w:color w:val="202020"/>
          <w:sz w:val="20"/>
          <w:szCs w:val="20"/>
        </w:rPr>
        <w:t xml:space="preserve">to think beyond </w:t>
      </w:r>
      <w:r w:rsidRPr="00CF1025">
        <w:rPr>
          <w:rFonts w:ascii="Times New Roman" w:hAnsi="Times New Roman"/>
          <w:color w:val="333333"/>
          <w:sz w:val="20"/>
          <w:szCs w:val="20"/>
        </w:rPr>
        <w:t>t</w:t>
      </w:r>
      <w:r w:rsidRPr="00CF1025">
        <w:rPr>
          <w:rFonts w:ascii="Times New Roman" w:hAnsi="Times New Roman"/>
          <w:color w:val="111111"/>
          <w:sz w:val="20"/>
          <w:szCs w:val="20"/>
        </w:rPr>
        <w:t>h</w:t>
      </w:r>
      <w:r w:rsidRPr="00CF1025">
        <w:rPr>
          <w:rFonts w:ascii="Times New Roman" w:hAnsi="Times New Roman"/>
          <w:color w:val="333333"/>
          <w:sz w:val="20"/>
          <w:szCs w:val="20"/>
        </w:rPr>
        <w:t xml:space="preserve">eir own </w:t>
      </w:r>
      <w:r w:rsidRPr="00CF1025">
        <w:rPr>
          <w:rFonts w:ascii="Times New Roman" w:hAnsi="Times New Roman"/>
          <w:color w:val="202020"/>
          <w:sz w:val="20"/>
          <w:szCs w:val="20"/>
        </w:rPr>
        <w:t xml:space="preserve">borders, facilitating Maximum Residue </w:t>
      </w:r>
      <w:r w:rsidRPr="00CF1025">
        <w:rPr>
          <w:rFonts w:ascii="Times New Roman" w:hAnsi="Times New Roman"/>
          <w:color w:val="111111"/>
          <w:sz w:val="20"/>
          <w:szCs w:val="20"/>
        </w:rPr>
        <w:t>L</w:t>
      </w:r>
      <w:r w:rsidRPr="00CF1025">
        <w:rPr>
          <w:rFonts w:ascii="Times New Roman" w:hAnsi="Times New Roman"/>
          <w:color w:val="484849"/>
          <w:sz w:val="20"/>
          <w:szCs w:val="20"/>
        </w:rPr>
        <w:t>e</w:t>
      </w:r>
      <w:r w:rsidRPr="00CF1025">
        <w:rPr>
          <w:rFonts w:ascii="Times New Roman" w:hAnsi="Times New Roman"/>
          <w:color w:val="202020"/>
          <w:sz w:val="20"/>
          <w:szCs w:val="20"/>
        </w:rPr>
        <w:t xml:space="preserve">vel </w:t>
      </w:r>
      <w:r w:rsidR="00E92570" w:rsidRPr="00CF1025">
        <w:rPr>
          <w:rFonts w:ascii="Times New Roman" w:hAnsi="Times New Roman"/>
          <w:color w:val="202020"/>
          <w:sz w:val="20"/>
          <w:szCs w:val="20"/>
        </w:rPr>
        <w:t>(</w:t>
      </w:r>
      <w:r w:rsidRPr="00CF1025">
        <w:rPr>
          <w:rFonts w:ascii="Times New Roman" w:hAnsi="Times New Roman"/>
          <w:color w:val="202020"/>
          <w:sz w:val="20"/>
          <w:szCs w:val="20"/>
        </w:rPr>
        <w:t xml:space="preserve">MRL) </w:t>
      </w:r>
      <w:r w:rsidRPr="00CF1025">
        <w:rPr>
          <w:rFonts w:ascii="Times New Roman" w:hAnsi="Times New Roman"/>
          <w:color w:val="333333"/>
          <w:sz w:val="20"/>
          <w:szCs w:val="20"/>
        </w:rPr>
        <w:t>a</w:t>
      </w:r>
      <w:r w:rsidRPr="00CF1025">
        <w:rPr>
          <w:rFonts w:ascii="Times New Roman" w:hAnsi="Times New Roman"/>
          <w:color w:val="111111"/>
          <w:sz w:val="20"/>
          <w:szCs w:val="20"/>
        </w:rPr>
        <w:t>li</w:t>
      </w:r>
      <w:r w:rsidRPr="00CF1025">
        <w:rPr>
          <w:rFonts w:ascii="Times New Roman" w:hAnsi="Times New Roman"/>
          <w:color w:val="333333"/>
          <w:sz w:val="20"/>
          <w:szCs w:val="20"/>
        </w:rPr>
        <w:t xml:space="preserve">gnment and </w:t>
      </w:r>
      <w:r w:rsidR="00EB634A" w:rsidRPr="00CF1025">
        <w:rPr>
          <w:rFonts w:ascii="Times New Roman" w:hAnsi="Times New Roman"/>
          <w:color w:val="202020"/>
          <w:sz w:val="20"/>
          <w:szCs w:val="20"/>
        </w:rPr>
        <w:t>harmoniz</w:t>
      </w:r>
      <w:r w:rsidR="00EB634A" w:rsidRPr="00CF1025">
        <w:rPr>
          <w:rFonts w:ascii="Times New Roman" w:hAnsi="Times New Roman"/>
          <w:color w:val="484849"/>
          <w:sz w:val="20"/>
          <w:szCs w:val="20"/>
        </w:rPr>
        <w:t>at</w:t>
      </w:r>
      <w:r w:rsidR="00EB634A" w:rsidRPr="00CF1025">
        <w:rPr>
          <w:rFonts w:ascii="Times New Roman" w:hAnsi="Times New Roman"/>
          <w:color w:val="202020"/>
          <w:sz w:val="20"/>
          <w:szCs w:val="20"/>
        </w:rPr>
        <w:t>ion</w:t>
      </w:r>
      <w:r w:rsidRPr="00CF1025">
        <w:rPr>
          <w:rFonts w:ascii="Times New Roman" w:hAnsi="Times New Roman"/>
          <w:color w:val="202020"/>
          <w:sz w:val="20"/>
          <w:szCs w:val="20"/>
        </w:rPr>
        <w:t xml:space="preserve"> </w:t>
      </w:r>
      <w:r w:rsidRPr="00CF1025">
        <w:rPr>
          <w:rFonts w:ascii="Times New Roman" w:hAnsi="Times New Roman"/>
          <w:color w:val="333333"/>
          <w:sz w:val="20"/>
          <w:szCs w:val="20"/>
        </w:rPr>
        <w:t xml:space="preserve">among countries to the </w:t>
      </w:r>
      <w:r w:rsidRPr="00CF1025">
        <w:rPr>
          <w:rFonts w:ascii="Times New Roman" w:hAnsi="Times New Roman"/>
          <w:color w:val="202020"/>
          <w:sz w:val="20"/>
          <w:szCs w:val="20"/>
        </w:rPr>
        <w:t xml:space="preserve">benefit </w:t>
      </w:r>
      <w:r w:rsidRPr="00CF1025">
        <w:rPr>
          <w:rFonts w:ascii="Times New Roman" w:hAnsi="Times New Roman"/>
          <w:color w:val="333333"/>
          <w:sz w:val="20"/>
          <w:szCs w:val="20"/>
        </w:rPr>
        <w:t xml:space="preserve">of U.S. companies </w:t>
      </w:r>
      <w:r w:rsidRPr="00CF1025">
        <w:rPr>
          <w:rFonts w:ascii="Times New Roman" w:hAnsi="Times New Roman"/>
          <w:color w:val="111111"/>
          <w:sz w:val="20"/>
          <w:szCs w:val="20"/>
        </w:rPr>
        <w:t>lik</w:t>
      </w:r>
      <w:r w:rsidRPr="00CF1025">
        <w:rPr>
          <w:rFonts w:ascii="Times New Roman" w:hAnsi="Times New Roman"/>
          <w:color w:val="333333"/>
          <w:sz w:val="20"/>
          <w:szCs w:val="20"/>
        </w:rPr>
        <w:t xml:space="preserve">e </w:t>
      </w:r>
      <w:r w:rsidRPr="00CF1025">
        <w:rPr>
          <w:rFonts w:ascii="Times New Roman" w:hAnsi="Times New Roman"/>
          <w:color w:val="202020"/>
          <w:sz w:val="20"/>
          <w:szCs w:val="20"/>
        </w:rPr>
        <w:t>DuPont.”</w:t>
      </w:r>
      <w:hyperlink r:id="rId16" w:history="1">
        <w:r w:rsidRPr="00CF1025">
          <w:rPr>
            <w:rStyle w:val="Hyperlink"/>
            <w:rFonts w:ascii="Times New Roman" w:hAnsi="Times New Roman"/>
            <w:sz w:val="20"/>
            <w:szCs w:val="20"/>
          </w:rPr>
          <w:t>https://www.regulations.gov/document?D=USTR-2017-0006-1401</w:t>
        </w:r>
      </w:hyperlink>
    </w:p>
  </w:endnote>
  <w:endnote w:id="14">
    <w:p w:rsidR="00F916AE" w:rsidRPr="00CF1025" w:rsidRDefault="00F916AE" w:rsidP="006200BE">
      <w:pPr>
        <w:rPr>
          <w:rFonts w:ascii="Times New Roman" w:hAnsi="Times New Roman"/>
          <w:color w:val="1F497D"/>
          <w:sz w:val="20"/>
          <w:szCs w:val="20"/>
        </w:rPr>
      </w:pPr>
      <w:r w:rsidRPr="00CF1025">
        <w:rPr>
          <w:rStyle w:val="EndnoteReference"/>
          <w:rFonts w:ascii="Times New Roman" w:hAnsi="Times New Roman"/>
          <w:sz w:val="20"/>
          <w:szCs w:val="20"/>
        </w:rPr>
        <w:endnoteRef/>
      </w:r>
      <w:r w:rsidRPr="00CF1025">
        <w:rPr>
          <w:rFonts w:ascii="Times New Roman" w:hAnsi="Times New Roman"/>
          <w:sz w:val="20"/>
          <w:szCs w:val="20"/>
        </w:rPr>
        <w:t xml:space="preserve"> </w:t>
      </w:r>
      <w:r w:rsidR="00291A95" w:rsidRPr="00CF1025">
        <w:rPr>
          <w:rFonts w:ascii="Times New Roman" w:hAnsi="Times New Roman"/>
          <w:sz w:val="20"/>
          <w:szCs w:val="20"/>
        </w:rPr>
        <w:t>Business Roundtable, federal register comments on NAFTA renegotiation.</w:t>
      </w:r>
      <w:r w:rsidR="00BA444E" w:rsidRPr="00CF1025">
        <w:rPr>
          <w:rFonts w:ascii="Times New Roman" w:hAnsi="Times New Roman"/>
          <w:color w:val="1F497D"/>
          <w:sz w:val="20"/>
          <w:szCs w:val="20"/>
        </w:rPr>
        <w:t xml:space="preserve"> </w:t>
      </w:r>
      <w:hyperlink r:id="rId17" w:history="1">
        <w:r w:rsidR="007B1A1E" w:rsidRPr="00CF1025">
          <w:rPr>
            <w:rStyle w:val="Hyperlink"/>
            <w:rFonts w:ascii="Times New Roman" w:hAnsi="Times New Roman"/>
            <w:sz w:val="20"/>
            <w:szCs w:val="20"/>
          </w:rPr>
          <w:t>https://www.regulations.gov/document?D=USTR-2017-0006-0874</w:t>
        </w:r>
      </w:hyperlink>
    </w:p>
  </w:endnote>
  <w:endnote w:id="15">
    <w:p w:rsidR="006D23AB" w:rsidRPr="00CF1025" w:rsidRDefault="006D23AB" w:rsidP="006200BE">
      <w:pPr>
        <w:pStyle w:val="Heading1"/>
        <w:rPr>
          <w:sz w:val="20"/>
          <w:szCs w:val="20"/>
        </w:rPr>
      </w:pPr>
      <w:r w:rsidRPr="00CF1025">
        <w:rPr>
          <w:rStyle w:val="EndnoteReference"/>
          <w:sz w:val="20"/>
          <w:szCs w:val="20"/>
        </w:rPr>
        <w:endnoteRef/>
      </w:r>
      <w:r w:rsidRPr="00CF1025">
        <w:rPr>
          <w:sz w:val="20"/>
          <w:szCs w:val="20"/>
        </w:rPr>
        <w:t xml:space="preserve"> </w:t>
      </w:r>
      <w:r w:rsidR="001F456A" w:rsidRPr="00CF1025">
        <w:rPr>
          <w:b w:val="0"/>
          <w:sz w:val="20"/>
          <w:szCs w:val="20"/>
        </w:rPr>
        <w:t xml:space="preserve">Danielle Ivory, Robert Faturechiljuly, The Deep Industry Ties of Trump’s Deregulation Teams, </w:t>
      </w:r>
      <w:r w:rsidR="00E92570" w:rsidRPr="00CF1025">
        <w:rPr>
          <w:b w:val="0"/>
          <w:sz w:val="20"/>
          <w:szCs w:val="20"/>
        </w:rPr>
        <w:t xml:space="preserve">The </w:t>
      </w:r>
      <w:r w:rsidR="001F456A" w:rsidRPr="00CF1025">
        <w:rPr>
          <w:b w:val="0"/>
          <w:sz w:val="20"/>
          <w:szCs w:val="20"/>
        </w:rPr>
        <w:t>New York Times, July 11,</w:t>
      </w:r>
      <w:r w:rsidR="00E92570" w:rsidRPr="00CF1025">
        <w:rPr>
          <w:b w:val="0"/>
          <w:sz w:val="20"/>
          <w:szCs w:val="20"/>
        </w:rPr>
        <w:t xml:space="preserve"> </w:t>
      </w:r>
      <w:r w:rsidR="001F456A" w:rsidRPr="00CF1025">
        <w:rPr>
          <w:b w:val="0"/>
          <w:sz w:val="20"/>
          <w:szCs w:val="20"/>
        </w:rPr>
        <w:t>2017</w:t>
      </w:r>
      <w:r w:rsidR="00E92570" w:rsidRPr="00CF1025">
        <w:rPr>
          <w:b w:val="0"/>
          <w:sz w:val="20"/>
          <w:szCs w:val="20"/>
        </w:rPr>
        <w:t>.</w:t>
      </w:r>
      <w:r w:rsidR="001F456A" w:rsidRPr="00CF1025">
        <w:rPr>
          <w:sz w:val="20"/>
          <w:szCs w:val="20"/>
        </w:rPr>
        <w:t xml:space="preserve"> </w:t>
      </w:r>
      <w:hyperlink r:id="rId18" w:history="1">
        <w:r w:rsidR="001F456A" w:rsidRPr="00CF1025">
          <w:rPr>
            <w:rStyle w:val="Hyperlink"/>
            <w:b w:val="0"/>
            <w:sz w:val="20"/>
            <w:szCs w:val="20"/>
          </w:rPr>
          <w:t>https://www.nytimes.com/2017/07/11/business/the-deep-industry-ties-of-trumps-deregulation-teams.html?hp&amp;action=click&amp;pgtype=Homepage&amp;clickSource=story-heading&amp;module=first-column-region&amp;region=top-news&amp;WT.nav=top-news&amp;_r=0</w:t>
        </w:r>
      </w:hyperlink>
    </w:p>
  </w:endnote>
  <w:endnote w:id="16">
    <w:p w:rsidR="00F916AE" w:rsidRPr="00CF1025" w:rsidRDefault="00F916AE" w:rsidP="00F916AE">
      <w:pPr>
        <w:pStyle w:val="EndnoteText"/>
      </w:pPr>
      <w:r w:rsidRPr="00CF1025">
        <w:rPr>
          <w:rStyle w:val="EndnoteReference"/>
        </w:rPr>
        <w:endnoteRef/>
      </w:r>
      <w:r w:rsidRPr="00CF1025">
        <w:t xml:space="preserve"> Friends of the Earth, U.S. exit from Paris Agreement will accelerate climate crisis, </w:t>
      </w:r>
      <w:hyperlink r:id="rId19" w:history="1">
        <w:r w:rsidRPr="00CF1025">
          <w:rPr>
            <w:rStyle w:val="Hyperlink"/>
          </w:rPr>
          <w:t>http://www.foe.org/news/news-releases/2017-06-paris-agreement-withdrawal</w:t>
        </w:r>
      </w:hyperlink>
    </w:p>
    <w:p w:rsidR="0059398A" w:rsidRPr="00CF1025" w:rsidRDefault="0059398A" w:rsidP="00F916AE">
      <w:pPr>
        <w:pStyle w:val="EndnoteText"/>
      </w:pPr>
    </w:p>
  </w:endnote>
  <w:endnote w:id="17">
    <w:p w:rsidR="00F916AE" w:rsidRPr="00CF1025" w:rsidRDefault="00F916AE" w:rsidP="006200BE">
      <w:pPr>
        <w:spacing w:line="240" w:lineRule="auto"/>
        <w:rPr>
          <w:rFonts w:ascii="Times New Roman" w:hAnsi="Times New Roman"/>
          <w:sz w:val="20"/>
          <w:szCs w:val="20"/>
        </w:rPr>
      </w:pPr>
      <w:r w:rsidRPr="00CF1025">
        <w:rPr>
          <w:rStyle w:val="EndnoteReference"/>
          <w:rFonts w:ascii="Times New Roman" w:hAnsi="Times New Roman"/>
          <w:sz w:val="20"/>
          <w:szCs w:val="20"/>
        </w:rPr>
        <w:endnoteRef/>
      </w:r>
      <w:r w:rsidRPr="00CF1025">
        <w:rPr>
          <w:rFonts w:ascii="Times New Roman" w:hAnsi="Times New Roman"/>
          <w:sz w:val="20"/>
          <w:szCs w:val="20"/>
        </w:rPr>
        <w:t xml:space="preserve"> </w:t>
      </w:r>
      <w:r w:rsidR="00512218" w:rsidRPr="00CF1025">
        <w:rPr>
          <w:rFonts w:ascii="Times New Roman" w:eastAsia="Times New Roman" w:hAnsi="Times New Roman"/>
          <w:sz w:val="20"/>
          <w:szCs w:val="20"/>
        </w:rPr>
        <w:t>Friends of the Earth, 350.org, Center for International Environmental Law, Center for Biological Diversity, Earthjustice, Food &amp; Water Watch, Friends of the Earth, Green America, Greenpeace USA, Institute for Agriculture and Trade Pol</w:t>
      </w:r>
      <w:r w:rsidR="00184FAB" w:rsidRPr="00CF1025">
        <w:rPr>
          <w:rFonts w:ascii="Times New Roman" w:eastAsia="Times New Roman" w:hAnsi="Times New Roman"/>
          <w:sz w:val="20"/>
          <w:szCs w:val="20"/>
        </w:rPr>
        <w:t xml:space="preserve">icy, Natural Resources Defense </w:t>
      </w:r>
      <w:r w:rsidR="00512218" w:rsidRPr="00CF1025">
        <w:rPr>
          <w:rFonts w:ascii="Times New Roman" w:eastAsia="Times New Roman" w:hAnsi="Times New Roman"/>
          <w:sz w:val="20"/>
          <w:szCs w:val="20"/>
        </w:rPr>
        <w:t>Council, Oil Change International, Sierra Club, SustainUS, Environmental Provisions in the Tran-Pacific Partnership, October 29, 2015</w:t>
      </w:r>
      <w:r w:rsidR="00E92570" w:rsidRPr="00CF1025">
        <w:rPr>
          <w:rFonts w:ascii="Times New Roman" w:eastAsia="Times New Roman" w:hAnsi="Times New Roman"/>
          <w:sz w:val="20"/>
          <w:szCs w:val="20"/>
        </w:rPr>
        <w:t>.</w:t>
      </w:r>
      <w:r w:rsidR="00512218" w:rsidRPr="00CF1025">
        <w:rPr>
          <w:rFonts w:ascii="Times New Roman" w:hAnsi="Times New Roman"/>
          <w:sz w:val="20"/>
          <w:szCs w:val="20"/>
        </w:rPr>
        <w:t xml:space="preserve"> </w:t>
      </w:r>
      <w:hyperlink r:id="rId20" w:history="1">
        <w:r w:rsidR="00512218" w:rsidRPr="00CF1025">
          <w:rPr>
            <w:rStyle w:val="Hyperlink"/>
            <w:rFonts w:ascii="Times New Roman" w:eastAsia="Times New Roman" w:hAnsi="Times New Roman"/>
            <w:sz w:val="20"/>
            <w:szCs w:val="20"/>
          </w:rPr>
          <w:t>https://www.sierraclub.org/sites/www.sierraclub.org/files/uploads-wysiwig/TPP%20letter%20FINAL%20%282%29.pdf</w:t>
        </w:r>
      </w:hyperlink>
      <w:r w:rsidR="0096132B" w:rsidRPr="00CF1025">
        <w:rPr>
          <w:rFonts w:ascii="Times New Roman" w:eastAsia="Times New Roman" w:hAnsi="Times New Roman"/>
          <w:sz w:val="20"/>
          <w:szCs w:val="20"/>
        </w:rPr>
        <w:t xml:space="preserve"> </w:t>
      </w:r>
    </w:p>
  </w:endnote>
  <w:endnote w:id="18">
    <w:p w:rsidR="00F916AE" w:rsidRPr="00CF1025" w:rsidRDefault="00F916AE" w:rsidP="00F916AE">
      <w:pPr>
        <w:pStyle w:val="EndnoteText"/>
        <w:rPr>
          <w:color w:val="000000"/>
        </w:rPr>
      </w:pPr>
      <w:r w:rsidRPr="00CF1025">
        <w:rPr>
          <w:rStyle w:val="EndnoteReference"/>
        </w:rPr>
        <w:endnoteRef/>
      </w:r>
      <w:r w:rsidRPr="00CF1025">
        <w:t xml:space="preserve"> </w:t>
      </w:r>
      <w:r w:rsidR="00D74C59" w:rsidRPr="00CF1025">
        <w:rPr>
          <w:color w:val="000000"/>
        </w:rPr>
        <w:t>This should include a form</w:t>
      </w:r>
      <w:r w:rsidRPr="00CF1025">
        <w:rPr>
          <w:color w:val="000000"/>
        </w:rPr>
        <w:t>al administrative process for citizen and civil society submissions regarding enforcement of environmental laws, compliance with multilateral environmental agreements, and initiating dispute resolution against other NAFTA parties.</w:t>
      </w:r>
    </w:p>
    <w:p w:rsidR="0059398A" w:rsidRPr="00CF1025" w:rsidRDefault="0059398A" w:rsidP="00F916AE">
      <w:pPr>
        <w:pStyle w:val="EndnoteText"/>
      </w:pPr>
    </w:p>
  </w:endnote>
  <w:endnote w:id="19">
    <w:p w:rsidR="00F916AE" w:rsidRPr="00CF1025" w:rsidRDefault="00F916AE" w:rsidP="00F916AE">
      <w:pPr>
        <w:pStyle w:val="EndnoteText"/>
      </w:pPr>
      <w:r w:rsidRPr="00CF1025">
        <w:rPr>
          <w:rStyle w:val="EndnoteReference"/>
        </w:rPr>
        <w:endnoteRef/>
      </w:r>
      <w:r w:rsidRPr="00CF1025">
        <w:t xml:space="preserve"> </w:t>
      </w:r>
      <w:r w:rsidRPr="00CF1025">
        <w:rPr>
          <w:rStyle w:val="CommentReference"/>
          <w:sz w:val="20"/>
          <w:szCs w:val="20"/>
        </w:rPr>
        <w:t xml:space="preserve">With respect to technical barriers to trade, Friends of the Earth fears that text of a renegotiated NAFTA will ignore the risk to important environmental and public health measures such as toxic chemicals regulation. </w:t>
      </w:r>
      <w:r w:rsidRPr="00CF1025">
        <w:t xml:space="preserve">Several TBT challenges in the WTO have succeeded in undermining important environmental and public health measures, particularly those related to product labels. </w:t>
      </w:r>
      <w:r w:rsidRPr="00CF1025">
        <w:rPr>
          <w:i/>
          <w:iCs/>
        </w:rPr>
        <w:t xml:space="preserve">See, </w:t>
      </w:r>
      <w:r w:rsidRPr="00CF1025">
        <w:t xml:space="preserve">Bill Waren, Friends of the Earth, Chemical safety and food labels under fire in TPP and TTIP. </w:t>
      </w:r>
      <w:hyperlink r:id="rId21" w:history="1">
        <w:r w:rsidRPr="00CF1025">
          <w:rPr>
            <w:rStyle w:val="Hyperlink"/>
          </w:rPr>
          <w:t>http://www.foe.org/news/archives/2015-03-fast-track-attack-chemical-safety-and-food-labels-un</w:t>
        </w:r>
      </w:hyperlink>
      <w:r w:rsidRPr="00CF1025">
        <w:t xml:space="preserve">; Bill Waren, Friends of the Earth, </w:t>
      </w:r>
      <w:r w:rsidRPr="00CF1025">
        <w:rPr>
          <w:color w:val="231F20"/>
        </w:rPr>
        <w:t xml:space="preserve">Sinister partners: transatlantic trade agreement &amp; toxic chemicals, </w:t>
      </w:r>
      <w:hyperlink r:id="rId22" w:history="1">
        <w:r w:rsidRPr="00CF1025">
          <w:rPr>
            <w:rStyle w:val="Hyperlink"/>
          </w:rPr>
          <w:t>http://www.foe.org/news/archives/2013-06-sinister-partners-transatlantic-trade-agreement--toxi</w:t>
        </w:r>
      </w:hyperlink>
    </w:p>
    <w:p w:rsidR="0059398A" w:rsidRPr="00CF1025" w:rsidRDefault="0059398A" w:rsidP="00F916AE">
      <w:pPr>
        <w:pStyle w:val="EndnoteText"/>
      </w:pPr>
    </w:p>
  </w:endnote>
  <w:endnote w:id="20">
    <w:p w:rsidR="000E5528" w:rsidRPr="00CF1025" w:rsidRDefault="00881221">
      <w:pPr>
        <w:pStyle w:val="EndnoteText"/>
      </w:pPr>
      <w:r w:rsidRPr="00CF1025">
        <w:rPr>
          <w:rStyle w:val="EndnoteReference"/>
        </w:rPr>
        <w:endnoteRef/>
      </w:r>
      <w:r w:rsidRPr="00CF1025">
        <w:t xml:space="preserve"> </w:t>
      </w:r>
      <w:r w:rsidR="000E5528" w:rsidRPr="00CF1025">
        <w:t xml:space="preserve">Eric Rothenberg et al, O’Melveny Alert, Congress Passes Amendments to TSCA, June 8, 2016, </w:t>
      </w:r>
      <w:hyperlink r:id="rId23" w:history="1">
        <w:r w:rsidR="00DF4DE0" w:rsidRPr="00CF1025">
          <w:rPr>
            <w:rStyle w:val="Hyperlink"/>
          </w:rPr>
          <w:t>https://www.omm.com/resources/alerts-and-publications/alerts/congress-passes-amendments-to-tsca/</w:t>
        </w:r>
      </w:hyperlink>
    </w:p>
    <w:p w:rsidR="00DF4DE0" w:rsidRPr="00CF1025" w:rsidRDefault="00DF4DE0">
      <w:pPr>
        <w:pStyle w:val="EndnoteText"/>
      </w:pPr>
    </w:p>
  </w:endnote>
  <w:endnote w:id="21">
    <w:p w:rsidR="009B133B" w:rsidRPr="00CF1025" w:rsidRDefault="009B133B" w:rsidP="009B133B">
      <w:pPr>
        <w:pStyle w:val="EndnoteText"/>
      </w:pPr>
      <w:r w:rsidRPr="00CF1025">
        <w:rPr>
          <w:rStyle w:val="EndnoteReference"/>
        </w:rPr>
        <w:endnoteRef/>
      </w:r>
      <w:r w:rsidRPr="00CF1025">
        <w:t xml:space="preserve"> </w:t>
      </w:r>
      <w:r w:rsidRPr="00CF1025">
        <w:rPr>
          <w:i/>
          <w:iCs/>
        </w:rPr>
        <w:t>See,</w:t>
      </w:r>
      <w:r w:rsidRPr="00CF1025">
        <w:t xml:space="preserve"> Bill Waren, Friends of the Earth, Assessment: Trade deal attack on pollinator protection. </w:t>
      </w:r>
      <w:hyperlink r:id="rId24" w:history="1">
        <w:r w:rsidRPr="00CF1025">
          <w:rPr>
            <w:rStyle w:val="Hyperlink"/>
          </w:rPr>
          <w:t>http://webiva-downton.s3.amazonaws.com/877/58/2/6702/Assessment.Trade_deal_attack_on_pollinator_protection.pdf</w:t>
        </w:r>
      </w:hyperlink>
      <w:r w:rsidRPr="00CF1025">
        <w:t>;</w:t>
      </w:r>
    </w:p>
    <w:p w:rsidR="00DF4DE0" w:rsidRPr="00CF1025" w:rsidRDefault="00DF4DE0" w:rsidP="009B133B">
      <w:pPr>
        <w:pStyle w:val="EndnoteText"/>
      </w:pPr>
    </w:p>
  </w:endnote>
  <w:endnote w:id="22">
    <w:p w:rsidR="00AE217A" w:rsidRPr="00CF1025" w:rsidRDefault="00BD6270">
      <w:pPr>
        <w:pStyle w:val="EndnoteText"/>
      </w:pPr>
      <w:r w:rsidRPr="00CF1025">
        <w:rPr>
          <w:rStyle w:val="EndnoteReference"/>
        </w:rPr>
        <w:endnoteRef/>
      </w:r>
      <w:r w:rsidRPr="00CF1025">
        <w:t xml:space="preserve"> Dan Gunderson, Elizabeth Dunbar, Seeking to reverse bee decline, Dayton orders limits on pesticide use, </w:t>
      </w:r>
      <w:r w:rsidR="00AE217A" w:rsidRPr="00CF1025">
        <w:t xml:space="preserve">MPRNews, </w:t>
      </w:r>
      <w:hyperlink r:id="rId25" w:history="1">
        <w:r w:rsidR="00DF4DE0" w:rsidRPr="00CF1025">
          <w:rPr>
            <w:rStyle w:val="Hyperlink"/>
          </w:rPr>
          <w:t>https://www.mprnews.org/story/2016/08/26/dayton-orders-steps-protect-bees-pollinators</w:t>
        </w:r>
      </w:hyperlink>
    </w:p>
    <w:p w:rsidR="00DF4DE0" w:rsidRPr="00CF1025" w:rsidRDefault="00DF4DE0">
      <w:pPr>
        <w:pStyle w:val="EndnoteText"/>
      </w:pPr>
    </w:p>
  </w:endnote>
  <w:endnote w:id="23">
    <w:p w:rsidR="00083891" w:rsidRPr="00CF1025" w:rsidRDefault="00083891">
      <w:pPr>
        <w:pStyle w:val="EndnoteText"/>
      </w:pPr>
      <w:r w:rsidRPr="00CF1025">
        <w:rPr>
          <w:rStyle w:val="EndnoteReference"/>
        </w:rPr>
        <w:endnoteRef/>
      </w:r>
      <w:r w:rsidRPr="00CF1025">
        <w:t xml:space="preserve"> Friends of the Earth, Bipartisan defeat of GMO “Dark act” a victory for right to know, </w:t>
      </w:r>
      <w:hyperlink r:id="rId26" w:history="1">
        <w:r w:rsidR="00DF4DE0" w:rsidRPr="00CF1025">
          <w:rPr>
            <w:rStyle w:val="Hyperlink"/>
          </w:rPr>
          <w:t>http://www.foe.org/news/news-releases/2016-03-bipartisan-defeat-of-senate-gmo-dark-act-a-victory-for-right-to-knowhttp://www.foe.org/news/news-releases/2016-03-bipartisan-defeat-of-senate-gmo-dark-act-a-victory-for-right-to-know</w:t>
        </w:r>
      </w:hyperlink>
    </w:p>
    <w:p w:rsidR="00DF4DE0" w:rsidRPr="00CF1025" w:rsidRDefault="00DF4DE0">
      <w:pPr>
        <w:pStyle w:val="EndnoteText"/>
      </w:pPr>
    </w:p>
  </w:endnote>
  <w:endnote w:id="24">
    <w:p w:rsidR="00A061B1" w:rsidRPr="00CF1025" w:rsidRDefault="00A061B1">
      <w:pPr>
        <w:pStyle w:val="EndnoteText"/>
      </w:pPr>
      <w:r w:rsidRPr="00CF1025">
        <w:rPr>
          <w:rStyle w:val="EndnoteReference"/>
        </w:rPr>
        <w:endnoteRef/>
      </w:r>
      <w:r w:rsidRPr="00CF1025">
        <w:t xml:space="preserve"> Krista Hughes, WTO rules against U.S. dolphin-safe canned tuna labels, Reuters, April 14, 2015, </w:t>
      </w:r>
      <w:hyperlink r:id="rId27" w:history="1">
        <w:r w:rsidR="000828D3" w:rsidRPr="00CF1025">
          <w:rPr>
            <w:rStyle w:val="Hyperlink"/>
          </w:rPr>
          <w:t>http://www.reuters.com/article/us-usa-mexico-tuna-idUSKBN0N51IW20150414</w:t>
        </w:r>
      </w:hyperlink>
      <w:r w:rsidR="000828D3" w:rsidRPr="00CF1025">
        <w:t xml:space="preserve">  </w:t>
      </w:r>
    </w:p>
    <w:p w:rsidR="00DF4DE0" w:rsidRPr="00CF1025" w:rsidRDefault="00DF4DE0">
      <w:pPr>
        <w:pStyle w:val="EndnoteText"/>
      </w:pPr>
    </w:p>
  </w:endnote>
  <w:endnote w:id="25">
    <w:p w:rsidR="00324DEE" w:rsidRPr="00CF1025" w:rsidRDefault="00324DEE">
      <w:pPr>
        <w:pStyle w:val="EndnoteText"/>
      </w:pPr>
      <w:r w:rsidRPr="00CF1025">
        <w:rPr>
          <w:rStyle w:val="EndnoteReference"/>
        </w:rPr>
        <w:endnoteRef/>
      </w:r>
      <w:r w:rsidRPr="00CF1025">
        <w:t xml:space="preserve"> </w:t>
      </w:r>
      <w:r w:rsidR="00DE3620" w:rsidRPr="00CF1025">
        <w:t xml:space="preserve">A leading spokesman for corporate agriculture John Keeling, the CEO of the National Potato Council, is one of many industrial agriculture leaders calling for “SPS-plus” in NAFTA renegotiation. He is very clear in his demand, </w:t>
      </w:r>
      <w:r w:rsidR="00EB634A" w:rsidRPr="00CF1025">
        <w:t>saying,</w:t>
      </w:r>
      <w:r w:rsidR="00DE3620" w:rsidRPr="00CF1025">
        <w:t xml:space="preserve"> “including enhanced SPS standards and science-based procedures for resolving SPS disputes would expand trade opportunities with both our NAFTA partners. A strong “SPS Plus” chapter could streamline the process….” </w:t>
      </w:r>
      <w:r w:rsidRPr="00CF1025">
        <w:t>John Keeling, NAFTA Renegotiation offers Opportunities, National Potato Council, May 2017,</w:t>
      </w:r>
      <w:r w:rsidR="0008527F" w:rsidRPr="00CF1025">
        <w:t xml:space="preserve"> </w:t>
      </w:r>
      <w:hyperlink r:id="rId28" w:history="1">
        <w:r w:rsidR="00DF4DE0" w:rsidRPr="00CF1025">
          <w:rPr>
            <w:rStyle w:val="Hyperlink"/>
          </w:rPr>
          <w:t>http://spudman.com/article/nafta-renegotiation-offers-opportunities/</w:t>
        </w:r>
      </w:hyperlink>
    </w:p>
    <w:p w:rsidR="00DF4DE0" w:rsidRPr="00CF1025" w:rsidRDefault="00DF4DE0">
      <w:pPr>
        <w:pStyle w:val="EndnoteText"/>
      </w:pPr>
    </w:p>
  </w:endnote>
  <w:endnote w:id="26">
    <w:p w:rsidR="00DF4DE0" w:rsidRPr="00CF1025" w:rsidRDefault="00BF0D1E">
      <w:pPr>
        <w:pStyle w:val="EndnoteText"/>
      </w:pPr>
      <w:r w:rsidRPr="00CF1025">
        <w:rPr>
          <w:rStyle w:val="EndnoteReference"/>
        </w:rPr>
        <w:endnoteRef/>
      </w:r>
      <w:r w:rsidRPr="00CF1025">
        <w:t xml:space="preserve"> </w:t>
      </w:r>
      <w:r w:rsidR="00C735F1" w:rsidRPr="00CF1025">
        <w:t xml:space="preserve">Bill Waren, Trade deal attack on safe food and sustainable agriculture, Friends of the Earth, March 25, 2015, </w:t>
      </w:r>
      <w:hyperlink r:id="rId29" w:history="1">
        <w:r w:rsidR="005406F2" w:rsidRPr="00CF1025">
          <w:rPr>
            <w:rStyle w:val="Hyperlink"/>
          </w:rPr>
          <w:t>http://www.foe.org/news/archives/2015-03-trade-deal-attack-on-safe-food-and-sustainable-agric</w:t>
        </w:r>
      </w:hyperlink>
      <w:r w:rsidR="00C735F1" w:rsidRPr="00CF1025">
        <w:t>;</w:t>
      </w:r>
      <w:r w:rsidR="005406F2" w:rsidRPr="00CF1025">
        <w:t xml:space="preserve"> </w:t>
      </w:r>
      <w:r w:rsidRPr="00CF1025">
        <w:t>Bill Waren, 7 ways the Trans Pacific Partnership threatens people and the planet, Friends of the Earth</w:t>
      </w:r>
      <w:r w:rsidR="00D9383F" w:rsidRPr="00CF1025">
        <w:t xml:space="preserve">, October 5, 2016. </w:t>
      </w:r>
      <w:hyperlink r:id="rId30" w:history="1">
        <w:r w:rsidR="00DF4DE0" w:rsidRPr="00CF1025">
          <w:rPr>
            <w:rStyle w:val="Hyperlink"/>
          </w:rPr>
          <w:t>https://medium.com/economic-policy/7-ways-the-trans-pacific-partnership-threatens-people-and-the-planet-ad49815f337b</w:t>
        </w:r>
      </w:hyperlink>
    </w:p>
    <w:p w:rsidR="00BF0D1E" w:rsidRPr="00CF1025" w:rsidRDefault="00BF0D1E">
      <w:pPr>
        <w:pStyle w:val="EndnoteText"/>
      </w:pPr>
      <w:r w:rsidRPr="00CF1025">
        <w:t xml:space="preserve"> </w:t>
      </w:r>
    </w:p>
  </w:endnote>
  <w:endnote w:id="27">
    <w:p w:rsidR="00F916AE" w:rsidRPr="00CF1025" w:rsidRDefault="00F916AE" w:rsidP="00F916AE">
      <w:pPr>
        <w:pStyle w:val="FootnoteText"/>
      </w:pPr>
      <w:r w:rsidRPr="00CF1025">
        <w:rPr>
          <w:rStyle w:val="EndnoteReference"/>
        </w:rPr>
        <w:endnoteRef/>
      </w:r>
      <w:r w:rsidRPr="00CF1025">
        <w:t xml:space="preserve"> Both the TPP and drafts of the still incomplete Transatlantic Trade and Investment Partnership agreement include a crosscutting discipline on development and review of government regulations. Friends of the Earth, The TPP trade agreement regulatory coherence chapter is an environmental hazard, </w:t>
      </w:r>
      <w:hyperlink r:id="rId31" w:history="1">
        <w:r w:rsidRPr="00CF1025">
          <w:rPr>
            <w:rStyle w:val="Hyperlink"/>
          </w:rPr>
          <w:t>http://www.foe.org/news/archives/2012-06-the-tpp-trade-agreement-investment-chapter-is-an-env</w:t>
        </w:r>
      </w:hyperlink>
      <w:r w:rsidRPr="00CF1025">
        <w:t xml:space="preserve">; Bill Waren, Friends of the Earth, Deregulatory Disappointment: Transatlantic Free Trade Agreement Negotiations, pp.8-9; </w:t>
      </w:r>
      <w:hyperlink r:id="rId32" w:history="1">
        <w:r w:rsidRPr="00CF1025">
          <w:rPr>
            <w:rStyle w:val="Hyperlink"/>
          </w:rPr>
          <w:t>http://www.foe.org/system/storage/877/b0/6/3031/ISSUE_BRIEF_TAFTA_overview_3.pdf</w:t>
        </w:r>
      </w:hyperlink>
      <w:r w:rsidRPr="00CF1025">
        <w:t>;</w:t>
      </w:r>
      <w:r w:rsidRPr="00CF1025">
        <w:rPr>
          <w:color w:val="32353A"/>
        </w:rPr>
        <w:t xml:space="preserve"> </w:t>
      </w:r>
      <w:r w:rsidRPr="00CF1025">
        <w:t xml:space="preserve">Paul De Clerck at al, How TTIP could create a red tape labyrinth, </w:t>
      </w:r>
      <w:hyperlink r:id="rId33" w:history="1">
        <w:r w:rsidRPr="00CF1025">
          <w:rPr>
            <w:rStyle w:val="Hyperlink"/>
          </w:rPr>
          <w:t>https://euobserver.com/opinion/128350</w:t>
        </w:r>
      </w:hyperlink>
    </w:p>
    <w:p w:rsidR="00DF4DE0" w:rsidRPr="00CF1025" w:rsidRDefault="00DF4DE0" w:rsidP="00F916AE">
      <w:pPr>
        <w:pStyle w:val="FootnoteText"/>
        <w:rPr>
          <w:color w:val="32353A"/>
        </w:rPr>
      </w:pPr>
    </w:p>
  </w:endnote>
  <w:endnote w:id="28">
    <w:p w:rsidR="00F916AE" w:rsidRPr="00CF1025" w:rsidRDefault="00F916AE" w:rsidP="00F916AE">
      <w:pPr>
        <w:pStyle w:val="EndnoteText"/>
      </w:pPr>
      <w:r w:rsidRPr="00CF1025">
        <w:rPr>
          <w:rStyle w:val="EndnoteReference"/>
        </w:rPr>
        <w:endnoteRef/>
      </w:r>
      <w:r w:rsidRPr="00CF1025">
        <w:t xml:space="preserve"> These seemingly definitive calculations of ratios of benefit to costs are frequently misleading and sometimes totally bogus. Identifying and quantifying the costs of environmental regulation can be inflated by assumptions, bias of the analyst, and flaws in data gathering. Quantifying the benefits of environmental regulation can be difficult, for example because public health data is not as comprehensively collected as economic data. Or, it can be impossible: an attempt to attribute a price to the intrinsic value of human life, living things and nature itself.</w:t>
      </w:r>
    </w:p>
    <w:p w:rsidR="00DF4DE0" w:rsidRPr="00CF1025" w:rsidRDefault="00DF4DE0" w:rsidP="00F916AE">
      <w:pPr>
        <w:pStyle w:val="EndnoteText"/>
      </w:pPr>
    </w:p>
  </w:endnote>
  <w:endnote w:id="29">
    <w:p w:rsidR="00F916AE" w:rsidRPr="00CF1025" w:rsidRDefault="00F916AE" w:rsidP="00F916AE">
      <w:pPr>
        <w:pStyle w:val="FootnoteText"/>
        <w:rPr>
          <w:rStyle w:val="Hyperlink"/>
        </w:rPr>
      </w:pPr>
      <w:r w:rsidRPr="00CF1025">
        <w:rPr>
          <w:rStyle w:val="EndnoteReference"/>
        </w:rPr>
        <w:endnoteRef/>
      </w:r>
      <w:r w:rsidRPr="00CF1025">
        <w:t xml:space="preserve"> Both the TPP and drafts of the still incomplete Transatlantic Trade and Investment Partnership agreement include a crosscutting discipline on development and review of government regulations. Friends of the Earth, The TPP trade agreement regulatory coherence chapter is an environmental hazard, </w:t>
      </w:r>
      <w:hyperlink r:id="rId34" w:history="1">
        <w:r w:rsidRPr="00CF1025">
          <w:rPr>
            <w:rStyle w:val="Hyperlink"/>
          </w:rPr>
          <w:t>http://www.foe.org/news/archives/2012-06-the-tpp-trade-agreement-investment-chapter-is-an-env</w:t>
        </w:r>
      </w:hyperlink>
      <w:r w:rsidRPr="00CF1025">
        <w:t xml:space="preserve">; Bill Waren, Friends of the Earth, Deregulatory Disappointment: Transatlantic Free Trade Agreement Negotiations, pp.8-9; </w:t>
      </w:r>
      <w:hyperlink r:id="rId35" w:history="1">
        <w:r w:rsidRPr="00CF1025">
          <w:rPr>
            <w:rStyle w:val="Hyperlink"/>
          </w:rPr>
          <w:t>http://www.foe.org/system/storage/877/b0/6/3031/ISSUE_BRIEF_TAFTA_overview_3.pdf</w:t>
        </w:r>
      </w:hyperlink>
      <w:r w:rsidRPr="00CF1025">
        <w:t>;</w:t>
      </w:r>
      <w:r w:rsidRPr="00CF1025">
        <w:rPr>
          <w:color w:val="32353A"/>
        </w:rPr>
        <w:t xml:space="preserve"> </w:t>
      </w:r>
      <w:r w:rsidRPr="00CF1025">
        <w:t xml:space="preserve">Paul De Clerck at al, How TTIP could create a red tape labyrinth, </w:t>
      </w:r>
      <w:hyperlink r:id="rId36" w:history="1">
        <w:r w:rsidRPr="00CF1025">
          <w:rPr>
            <w:rStyle w:val="Hyperlink"/>
          </w:rPr>
          <w:t>https://euobserver.com/opinion/128350</w:t>
        </w:r>
      </w:hyperlink>
      <w:r w:rsidRPr="00CF1025">
        <w:rPr>
          <w:rStyle w:val="Hyperlink"/>
        </w:rPr>
        <w:t xml:space="preserve">  </w:t>
      </w:r>
    </w:p>
    <w:p w:rsidR="00DF4DE0" w:rsidRPr="00CF1025" w:rsidRDefault="00DF4DE0" w:rsidP="00F916AE">
      <w:pPr>
        <w:pStyle w:val="FootnoteText"/>
        <w:rPr>
          <w:color w:val="32353A"/>
        </w:rPr>
      </w:pPr>
    </w:p>
  </w:endnote>
  <w:endnote w:id="30">
    <w:p w:rsidR="00F916AE" w:rsidRPr="00CF1025" w:rsidRDefault="00F916AE" w:rsidP="006200BE">
      <w:pPr>
        <w:spacing w:line="240" w:lineRule="auto"/>
        <w:rPr>
          <w:rFonts w:ascii="Times New Roman" w:hAnsi="Times New Roman"/>
          <w:sz w:val="20"/>
          <w:szCs w:val="20"/>
        </w:rPr>
      </w:pPr>
      <w:r w:rsidRPr="00CF1025">
        <w:rPr>
          <w:rStyle w:val="EndnoteReference"/>
          <w:rFonts w:ascii="Times New Roman" w:hAnsi="Times New Roman"/>
          <w:sz w:val="20"/>
          <w:szCs w:val="20"/>
        </w:rPr>
        <w:endnoteRef/>
      </w:r>
      <w:r w:rsidRPr="00CF1025">
        <w:rPr>
          <w:rFonts w:ascii="Times New Roman" w:hAnsi="Times New Roman"/>
          <w:sz w:val="20"/>
          <w:szCs w:val="20"/>
        </w:rPr>
        <w:t xml:space="preserve"> </w:t>
      </w:r>
      <w:r w:rsidRPr="00CF1025">
        <w:rPr>
          <w:rFonts w:ascii="Times New Roman" w:hAnsi="Times New Roman"/>
          <w:i/>
          <w:iCs/>
          <w:sz w:val="20"/>
          <w:szCs w:val="20"/>
        </w:rPr>
        <w:t xml:space="preserve">See </w:t>
      </w:r>
      <w:r w:rsidRPr="00CF1025">
        <w:rPr>
          <w:rFonts w:ascii="Times New Roman" w:hAnsi="Times New Roman"/>
          <w:sz w:val="20"/>
          <w:szCs w:val="20"/>
        </w:rPr>
        <w:t xml:space="preserve">Food and Water Watch, The TPP Pushes the GMO Industry’s Global Agenda, </w:t>
      </w:r>
      <w:hyperlink r:id="rId37" w:history="1">
        <w:r w:rsidRPr="00CF1025">
          <w:rPr>
            <w:rStyle w:val="Hyperlink"/>
            <w:rFonts w:ascii="Times New Roman" w:hAnsi="Times New Roman"/>
            <w:sz w:val="20"/>
            <w:szCs w:val="20"/>
          </w:rPr>
          <w:t>https://www.foodandwaterwatch.org/sites/default/files/fs_1608_tpp-biotech-web.pdf</w:t>
        </w:r>
      </w:hyperlink>
      <w:r w:rsidRPr="00CF1025">
        <w:rPr>
          <w:rFonts w:ascii="Times New Roman" w:hAnsi="Times New Roman"/>
          <w:sz w:val="20"/>
          <w:szCs w:val="20"/>
        </w:rPr>
        <w:t xml:space="preserve">; Bill Waren, </w:t>
      </w:r>
      <w:r w:rsidRPr="00CF1025">
        <w:rPr>
          <w:rFonts w:ascii="Times New Roman" w:hAnsi="Times New Roman"/>
          <w:color w:val="231F20"/>
          <w:sz w:val="20"/>
          <w:szCs w:val="20"/>
        </w:rPr>
        <w:t>Free trade in frankenfish? Trans-Atlantic free trade agreement could be a monster,</w:t>
      </w:r>
      <w:r w:rsidRPr="00CF1025">
        <w:rPr>
          <w:rFonts w:ascii="Times New Roman" w:hAnsi="Times New Roman"/>
          <w:sz w:val="20"/>
          <w:szCs w:val="20"/>
        </w:rPr>
        <w:t xml:space="preserve"> </w:t>
      </w:r>
      <w:hyperlink r:id="rId38" w:history="1">
        <w:r w:rsidRPr="00CF1025">
          <w:rPr>
            <w:rStyle w:val="Hyperlink"/>
            <w:rFonts w:ascii="Times New Roman" w:hAnsi="Times New Roman"/>
            <w:sz w:val="20"/>
            <w:szCs w:val="20"/>
          </w:rPr>
          <w:t>http://www.foe.org/news/archives/2013-04-free-trade-in-frankenfish-trans-atlantic-free-trade</w:t>
        </w:r>
      </w:hyperlink>
      <w:r w:rsidRPr="00CF1025">
        <w:rPr>
          <w:rFonts w:ascii="Times New Roman" w:hAnsi="Times New Roman"/>
          <w:sz w:val="20"/>
          <w:szCs w:val="20"/>
        </w:rPr>
        <w:t xml:space="preserve">; Bill Waren, Friends of the Earth, Deregulatory Disappointment: Transatlantic Free Trade Agreement Negotiations, </w:t>
      </w:r>
      <w:hyperlink r:id="rId39" w:history="1">
        <w:r w:rsidRPr="00CF1025">
          <w:rPr>
            <w:rStyle w:val="Hyperlink"/>
            <w:rFonts w:ascii="Times New Roman" w:hAnsi="Times New Roman"/>
            <w:sz w:val="20"/>
            <w:szCs w:val="20"/>
          </w:rPr>
          <w:t>http://www.foe.org/system/storage/877/b0/6/3031/ISSUE_BRIEF_TAFTA_overview_3.pdf</w:t>
        </w:r>
      </w:hyperlink>
    </w:p>
  </w:endnote>
  <w:endnote w:id="31">
    <w:p w:rsidR="00F916AE" w:rsidRPr="00CF1025" w:rsidRDefault="00F916AE" w:rsidP="00F916AE">
      <w:pPr>
        <w:pStyle w:val="EndnoteText"/>
      </w:pPr>
      <w:r w:rsidRPr="00CF1025">
        <w:rPr>
          <w:rStyle w:val="EndnoteReference"/>
        </w:rPr>
        <w:endnoteRef/>
      </w:r>
      <w:r w:rsidRPr="00CF1025">
        <w:t xml:space="preserve"> An excellent example of an environmental issue involving uncertain outcomes that requires application of the precautionary principle, not cost-benefit analysis, is regulation of synthetic biology. While genetic engineering involves the exchange of genes between species, synthetic biology involves artificially creating new genetic code and inserting it into organisms. Synthetic organisms self-replicate. No one knows how they will interact with naturally occurring organisms or the consequences for the ecosystem as a whole. Standard forms of risk assessment and cost-benefit analyses used by current biotechnology regulatory approaches often used in the U.S.</w:t>
      </w:r>
      <w:r w:rsidR="005406F2" w:rsidRPr="00CF1025">
        <w:t xml:space="preserve"> </w:t>
      </w:r>
      <w:r w:rsidRPr="00CF1025">
        <w:t>are inadequate to guarantee protection of the public and the environment.</w:t>
      </w:r>
    </w:p>
    <w:p w:rsidR="00DF4DE0" w:rsidRPr="00CF1025" w:rsidRDefault="00DF4DE0" w:rsidP="00F916AE">
      <w:pPr>
        <w:pStyle w:val="EndnoteText"/>
      </w:pPr>
    </w:p>
  </w:endnote>
  <w:endnote w:id="32">
    <w:p w:rsidR="00866E59" w:rsidRPr="00CF1025" w:rsidRDefault="00866E59">
      <w:pPr>
        <w:pStyle w:val="EndnoteText"/>
      </w:pPr>
      <w:r w:rsidRPr="00CF1025">
        <w:rPr>
          <w:rStyle w:val="EndnoteReference"/>
        </w:rPr>
        <w:endnoteRef/>
      </w:r>
      <w:r w:rsidRPr="00CF1025">
        <w:t xml:space="preserve"> Gus Van Harten et al, Public Statement on the International Investment Regime – 31 August 2010, </w:t>
      </w:r>
      <w:r w:rsidRPr="00CF1025">
        <w:rPr>
          <w:i/>
          <w:iCs/>
        </w:rPr>
        <w:t xml:space="preserve">available at </w:t>
      </w:r>
      <w:hyperlink r:id="rId40" w:tgtFrame="_blank" w:history="1">
        <w:r w:rsidRPr="00CF1025">
          <w:rPr>
            <w:rStyle w:val="Hyperlink"/>
            <w:i/>
            <w:iCs/>
          </w:rPr>
          <w:t>http://www.osgoode.yorku.ca/public-statement-international-investment-regime-31-august-2010/</w:t>
        </w:r>
      </w:hyperlink>
    </w:p>
    <w:p w:rsidR="00DF4DE0" w:rsidRPr="00CF1025" w:rsidRDefault="00DF4DE0">
      <w:pPr>
        <w:pStyle w:val="EndnoteText"/>
      </w:pPr>
    </w:p>
  </w:endnote>
  <w:endnote w:id="33">
    <w:p w:rsidR="006A4CBB" w:rsidRPr="00CF1025" w:rsidRDefault="006A4CBB" w:rsidP="006A4CBB">
      <w:pPr>
        <w:pStyle w:val="EndnoteText"/>
      </w:pPr>
      <w:r w:rsidRPr="00CF1025">
        <w:rPr>
          <w:rStyle w:val="EndnoteReference"/>
        </w:rPr>
        <w:endnoteRef/>
      </w:r>
      <w:r w:rsidRPr="00CF1025">
        <w:t xml:space="preserve"> </w:t>
      </w:r>
      <w:r w:rsidRPr="00CF1025">
        <w:rPr>
          <w:bCs/>
        </w:rPr>
        <w:t xml:space="preserve">See, Friends of the Earth, Tall tales of the TPP (and TTIP). </w:t>
      </w:r>
      <w:hyperlink r:id="rId41" w:history="1">
        <w:r w:rsidRPr="00CF1025">
          <w:rPr>
            <w:rStyle w:val="Hyperlink"/>
            <w:bCs/>
          </w:rPr>
          <w:t>http://www.foe.org/news/archives/2015-02-tall-tales-of-the-tpp</w:t>
        </w:r>
      </w:hyperlink>
      <w:r w:rsidRPr="00CF1025">
        <w:rPr>
          <w:bCs/>
        </w:rPr>
        <w:t xml:space="preserve">; Friends of the Earth,  </w:t>
      </w:r>
      <w:hyperlink r:id="rId42" w:history="1">
        <w:r w:rsidRPr="00CF1025">
          <w:rPr>
            <w:rStyle w:val="Hyperlink"/>
            <w:bCs/>
          </w:rPr>
          <w:t>Sen. Elizabeth Warren: Trade deal must not undercut Wall Street reforms</w:t>
        </w:r>
      </w:hyperlink>
      <w:r w:rsidRPr="00CF1025">
        <w:rPr>
          <w:bCs/>
        </w:rPr>
        <w:t xml:space="preserve">, </w:t>
      </w:r>
      <w:hyperlink r:id="rId43" w:history="1">
        <w:r w:rsidRPr="00CF1025">
          <w:rPr>
            <w:rStyle w:val="Hyperlink"/>
            <w:bCs/>
          </w:rPr>
          <w:t>http://www.foe.org/news/archives/2014-12-sen-elizabeth-warren-trade-deal-must-not-undercut-wa</w:t>
        </w:r>
      </w:hyperlink>
    </w:p>
    <w:p w:rsidR="00DF4DE0" w:rsidRPr="00CF1025" w:rsidRDefault="00DF4DE0" w:rsidP="006A4CBB">
      <w:pPr>
        <w:pStyle w:val="EndnoteText"/>
      </w:pPr>
    </w:p>
  </w:endnote>
  <w:endnote w:id="34">
    <w:p w:rsidR="007827C9" w:rsidRPr="00CF1025" w:rsidRDefault="007827C9">
      <w:pPr>
        <w:pStyle w:val="EndnoteText"/>
        <w:rPr>
          <w:rStyle w:val="Hyperlink"/>
        </w:rPr>
      </w:pPr>
      <w:r w:rsidRPr="00CF1025">
        <w:rPr>
          <w:rStyle w:val="EndnoteReference"/>
        </w:rPr>
        <w:endnoteRef/>
      </w:r>
      <w:r w:rsidRPr="00CF1025">
        <w:t xml:space="preserve"> </w:t>
      </w:r>
      <w:r w:rsidRPr="00CF1025">
        <w:rPr>
          <w:i/>
          <w:iCs/>
        </w:rPr>
        <w:t xml:space="preserve">See generally on arbitrator behavior, </w:t>
      </w:r>
      <w:r w:rsidRPr="00CF1025">
        <w:t xml:space="preserve">Gus Van Harten, Arbitrator Behaviour in Asymmetrical Adjudication: An Empirical Study of Investment Treaty Arbitration, 50 OSGOODE HALL L.J. 211, 226 (2012).Gus Van Harten, Fairness and Independence in Investment Arbitration: A Critique of Susan Franck’s “Development and Outcomes of Investment Treaty Arbitration, SOCIAL SCIENCE RESEARCH NETWORK 1-2 (Dec. 1, 2011), </w:t>
      </w:r>
      <w:hyperlink r:id="rId44" w:tgtFrame="_blank" w:history="1">
        <w:r w:rsidRPr="00CF1025">
          <w:rPr>
            <w:rStyle w:val="Hyperlink"/>
          </w:rPr>
          <w:t>http://ssrn.com/abstract=1740031</w:t>
        </w:r>
      </w:hyperlink>
    </w:p>
    <w:p w:rsidR="00E92570" w:rsidRPr="00CF1025" w:rsidRDefault="00E92570">
      <w:pPr>
        <w:pStyle w:val="EndnoteText"/>
      </w:pPr>
    </w:p>
  </w:endnote>
  <w:endnote w:id="35">
    <w:p w:rsidR="00E92570" w:rsidRDefault="00E92570">
      <w:pPr>
        <w:pStyle w:val="EndnoteText"/>
      </w:pPr>
      <w:r w:rsidRPr="00CF1025">
        <w:rPr>
          <w:rStyle w:val="EndnoteReference"/>
        </w:rPr>
        <w:endnoteRef/>
      </w:r>
      <w:r w:rsidRPr="00CF1025">
        <w:t xml:space="preserve"> Bill Waren, President Obama dodges Pacific trade deal threat to the environment, January 21, 2016. </w:t>
      </w:r>
      <w:hyperlink r:id="rId45" w:anchor=".aq9eld2s6" w:history="1">
        <w:r w:rsidRPr="00CF1025">
          <w:rPr>
            <w:rStyle w:val="Hyperlink"/>
          </w:rPr>
          <w:t>https://medium.com/economic-policy/president-obama-dodges-pacific-trade-deal-threat-to-the-environment-7f9b4ff44c91#.aq9eld2s6</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E7" w:rsidRDefault="00A14BE7" w:rsidP="00C730B8">
      <w:pPr>
        <w:spacing w:after="0" w:line="240" w:lineRule="auto"/>
      </w:pPr>
      <w:r>
        <w:separator/>
      </w:r>
    </w:p>
  </w:footnote>
  <w:footnote w:type="continuationSeparator" w:id="0">
    <w:p w:rsidR="00A14BE7" w:rsidRDefault="00A14BE7" w:rsidP="00C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624F"/>
    <w:multiLevelType w:val="hybridMultilevel"/>
    <w:tmpl w:val="0874A5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72B6B"/>
    <w:multiLevelType w:val="hybridMultilevel"/>
    <w:tmpl w:val="B89A5DA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7850AEB"/>
    <w:multiLevelType w:val="hybridMultilevel"/>
    <w:tmpl w:val="2A1271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05F6949"/>
    <w:multiLevelType w:val="hybridMultilevel"/>
    <w:tmpl w:val="D272F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8000CE2"/>
    <w:multiLevelType w:val="hybridMultilevel"/>
    <w:tmpl w:val="F064F086"/>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9C85EB9"/>
    <w:multiLevelType w:val="hybridMultilevel"/>
    <w:tmpl w:val="792AB8E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80"/>
    <w:rsid w:val="00012058"/>
    <w:rsid w:val="0001320F"/>
    <w:rsid w:val="0001464A"/>
    <w:rsid w:val="00017EEE"/>
    <w:rsid w:val="0002014F"/>
    <w:rsid w:val="00021DF7"/>
    <w:rsid w:val="00022670"/>
    <w:rsid w:val="00040AE8"/>
    <w:rsid w:val="0004288B"/>
    <w:rsid w:val="00044700"/>
    <w:rsid w:val="00045885"/>
    <w:rsid w:val="0005096C"/>
    <w:rsid w:val="00054A71"/>
    <w:rsid w:val="000563B3"/>
    <w:rsid w:val="0006595D"/>
    <w:rsid w:val="00071917"/>
    <w:rsid w:val="000736CF"/>
    <w:rsid w:val="0008196D"/>
    <w:rsid w:val="000828D3"/>
    <w:rsid w:val="00083891"/>
    <w:rsid w:val="0008527F"/>
    <w:rsid w:val="00085F1C"/>
    <w:rsid w:val="00086D15"/>
    <w:rsid w:val="00094DA7"/>
    <w:rsid w:val="000B1C00"/>
    <w:rsid w:val="000B6CB2"/>
    <w:rsid w:val="000C43E7"/>
    <w:rsid w:val="000D04BA"/>
    <w:rsid w:val="000D1454"/>
    <w:rsid w:val="000E5528"/>
    <w:rsid w:val="000F0891"/>
    <w:rsid w:val="001231AA"/>
    <w:rsid w:val="00127801"/>
    <w:rsid w:val="001324BF"/>
    <w:rsid w:val="00142B65"/>
    <w:rsid w:val="00147292"/>
    <w:rsid w:val="001625B9"/>
    <w:rsid w:val="00163D09"/>
    <w:rsid w:val="00164DC0"/>
    <w:rsid w:val="00183C7E"/>
    <w:rsid w:val="00184FAB"/>
    <w:rsid w:val="00195325"/>
    <w:rsid w:val="00196E5D"/>
    <w:rsid w:val="001C4D7D"/>
    <w:rsid w:val="001D3E62"/>
    <w:rsid w:val="001E0A17"/>
    <w:rsid w:val="001F456A"/>
    <w:rsid w:val="00206883"/>
    <w:rsid w:val="00210609"/>
    <w:rsid w:val="00222CB0"/>
    <w:rsid w:val="00231B45"/>
    <w:rsid w:val="00240A06"/>
    <w:rsid w:val="002442D4"/>
    <w:rsid w:val="00244A2F"/>
    <w:rsid w:val="002543F7"/>
    <w:rsid w:val="0025648A"/>
    <w:rsid w:val="00261ED6"/>
    <w:rsid w:val="00265CAE"/>
    <w:rsid w:val="00270691"/>
    <w:rsid w:val="00270C98"/>
    <w:rsid w:val="00274E25"/>
    <w:rsid w:val="00277E91"/>
    <w:rsid w:val="00285776"/>
    <w:rsid w:val="002870F5"/>
    <w:rsid w:val="00291A95"/>
    <w:rsid w:val="00291D63"/>
    <w:rsid w:val="00294F44"/>
    <w:rsid w:val="00296AA0"/>
    <w:rsid w:val="002A048E"/>
    <w:rsid w:val="002A48AC"/>
    <w:rsid w:val="002B1575"/>
    <w:rsid w:val="002B6F02"/>
    <w:rsid w:val="002C1015"/>
    <w:rsid w:val="002C2007"/>
    <w:rsid w:val="002C212E"/>
    <w:rsid w:val="002D6071"/>
    <w:rsid w:val="002E0433"/>
    <w:rsid w:val="002F1606"/>
    <w:rsid w:val="002F1978"/>
    <w:rsid w:val="002F42C2"/>
    <w:rsid w:val="00302393"/>
    <w:rsid w:val="0030310F"/>
    <w:rsid w:val="00312EC6"/>
    <w:rsid w:val="00314287"/>
    <w:rsid w:val="00315236"/>
    <w:rsid w:val="00320FFA"/>
    <w:rsid w:val="00322901"/>
    <w:rsid w:val="00324DEE"/>
    <w:rsid w:val="0034749F"/>
    <w:rsid w:val="0035444A"/>
    <w:rsid w:val="0036782C"/>
    <w:rsid w:val="00371FC1"/>
    <w:rsid w:val="00374D49"/>
    <w:rsid w:val="00380258"/>
    <w:rsid w:val="00383073"/>
    <w:rsid w:val="00384E9F"/>
    <w:rsid w:val="0039551A"/>
    <w:rsid w:val="003971AF"/>
    <w:rsid w:val="003A0807"/>
    <w:rsid w:val="003A0CCB"/>
    <w:rsid w:val="003B5079"/>
    <w:rsid w:val="003C5217"/>
    <w:rsid w:val="003C7220"/>
    <w:rsid w:val="003C7B85"/>
    <w:rsid w:val="003D024A"/>
    <w:rsid w:val="003E1E12"/>
    <w:rsid w:val="003E50E7"/>
    <w:rsid w:val="003F453F"/>
    <w:rsid w:val="003F6344"/>
    <w:rsid w:val="0040185B"/>
    <w:rsid w:val="00410643"/>
    <w:rsid w:val="00412B2D"/>
    <w:rsid w:val="004222AE"/>
    <w:rsid w:val="00434785"/>
    <w:rsid w:val="0043675F"/>
    <w:rsid w:val="004416A8"/>
    <w:rsid w:val="00451E86"/>
    <w:rsid w:val="004677B1"/>
    <w:rsid w:val="00475B6C"/>
    <w:rsid w:val="00485194"/>
    <w:rsid w:val="004910DF"/>
    <w:rsid w:val="004950B9"/>
    <w:rsid w:val="004A22E3"/>
    <w:rsid w:val="004A2787"/>
    <w:rsid w:val="004B679D"/>
    <w:rsid w:val="004C5B87"/>
    <w:rsid w:val="004D5826"/>
    <w:rsid w:val="004D6C1F"/>
    <w:rsid w:val="004E65D0"/>
    <w:rsid w:val="004F0EAE"/>
    <w:rsid w:val="004F3C67"/>
    <w:rsid w:val="00500978"/>
    <w:rsid w:val="005018F6"/>
    <w:rsid w:val="00512218"/>
    <w:rsid w:val="0051663C"/>
    <w:rsid w:val="00517BBA"/>
    <w:rsid w:val="00524CB4"/>
    <w:rsid w:val="00526B69"/>
    <w:rsid w:val="0053557F"/>
    <w:rsid w:val="00536710"/>
    <w:rsid w:val="005406F2"/>
    <w:rsid w:val="0054200F"/>
    <w:rsid w:val="0055294D"/>
    <w:rsid w:val="00555E80"/>
    <w:rsid w:val="005616A3"/>
    <w:rsid w:val="0058193C"/>
    <w:rsid w:val="005850B6"/>
    <w:rsid w:val="0059398A"/>
    <w:rsid w:val="00595B57"/>
    <w:rsid w:val="005A79E4"/>
    <w:rsid w:val="005B4DF1"/>
    <w:rsid w:val="005B637D"/>
    <w:rsid w:val="005C7B6E"/>
    <w:rsid w:val="005D68B2"/>
    <w:rsid w:val="005F2075"/>
    <w:rsid w:val="005F3575"/>
    <w:rsid w:val="005F722F"/>
    <w:rsid w:val="00603FBA"/>
    <w:rsid w:val="006118A6"/>
    <w:rsid w:val="00614DCD"/>
    <w:rsid w:val="006200BE"/>
    <w:rsid w:val="006247A9"/>
    <w:rsid w:val="00624B20"/>
    <w:rsid w:val="00627301"/>
    <w:rsid w:val="006276B4"/>
    <w:rsid w:val="00630727"/>
    <w:rsid w:val="00631182"/>
    <w:rsid w:val="006325D8"/>
    <w:rsid w:val="00634DAB"/>
    <w:rsid w:val="00635A0E"/>
    <w:rsid w:val="00636E1F"/>
    <w:rsid w:val="0067385C"/>
    <w:rsid w:val="00676CCB"/>
    <w:rsid w:val="0068238D"/>
    <w:rsid w:val="00685D3A"/>
    <w:rsid w:val="00691D63"/>
    <w:rsid w:val="006A4CBB"/>
    <w:rsid w:val="006A5CB4"/>
    <w:rsid w:val="006A7A35"/>
    <w:rsid w:val="006B0439"/>
    <w:rsid w:val="006B2FF2"/>
    <w:rsid w:val="006B5E1A"/>
    <w:rsid w:val="006C37B3"/>
    <w:rsid w:val="006C4172"/>
    <w:rsid w:val="006D23AB"/>
    <w:rsid w:val="006D3049"/>
    <w:rsid w:val="006E4119"/>
    <w:rsid w:val="006E6278"/>
    <w:rsid w:val="006F5B98"/>
    <w:rsid w:val="007004E5"/>
    <w:rsid w:val="007109CD"/>
    <w:rsid w:val="00714EA5"/>
    <w:rsid w:val="007154DC"/>
    <w:rsid w:val="00716BB6"/>
    <w:rsid w:val="00722A4F"/>
    <w:rsid w:val="00726E72"/>
    <w:rsid w:val="00727FA5"/>
    <w:rsid w:val="007303AB"/>
    <w:rsid w:val="007314DE"/>
    <w:rsid w:val="00734256"/>
    <w:rsid w:val="00735C82"/>
    <w:rsid w:val="0073765F"/>
    <w:rsid w:val="00742A7E"/>
    <w:rsid w:val="00752607"/>
    <w:rsid w:val="007639DC"/>
    <w:rsid w:val="007672E2"/>
    <w:rsid w:val="007827C9"/>
    <w:rsid w:val="007833AD"/>
    <w:rsid w:val="00792604"/>
    <w:rsid w:val="007A0FEB"/>
    <w:rsid w:val="007A1149"/>
    <w:rsid w:val="007B1A1E"/>
    <w:rsid w:val="007B4CBF"/>
    <w:rsid w:val="007B56A0"/>
    <w:rsid w:val="007B6B26"/>
    <w:rsid w:val="007C396D"/>
    <w:rsid w:val="007C53F7"/>
    <w:rsid w:val="007D397A"/>
    <w:rsid w:val="007D5505"/>
    <w:rsid w:val="007D63E7"/>
    <w:rsid w:val="007D64A2"/>
    <w:rsid w:val="007E226C"/>
    <w:rsid w:val="007E2592"/>
    <w:rsid w:val="007F366B"/>
    <w:rsid w:val="00800604"/>
    <w:rsid w:val="00802CA9"/>
    <w:rsid w:val="00821E0E"/>
    <w:rsid w:val="00825E04"/>
    <w:rsid w:val="00827F67"/>
    <w:rsid w:val="0084214F"/>
    <w:rsid w:val="00842551"/>
    <w:rsid w:val="0086686D"/>
    <w:rsid w:val="00866E59"/>
    <w:rsid w:val="008741FB"/>
    <w:rsid w:val="00881221"/>
    <w:rsid w:val="008844D4"/>
    <w:rsid w:val="00886381"/>
    <w:rsid w:val="008936CD"/>
    <w:rsid w:val="0089454F"/>
    <w:rsid w:val="008955E0"/>
    <w:rsid w:val="008A2263"/>
    <w:rsid w:val="008A4736"/>
    <w:rsid w:val="008A63F7"/>
    <w:rsid w:val="008A6BEC"/>
    <w:rsid w:val="008B6213"/>
    <w:rsid w:val="008C1145"/>
    <w:rsid w:val="008C388D"/>
    <w:rsid w:val="008E3100"/>
    <w:rsid w:val="008E5442"/>
    <w:rsid w:val="008E7F17"/>
    <w:rsid w:val="008F79EE"/>
    <w:rsid w:val="00900A13"/>
    <w:rsid w:val="00910E3B"/>
    <w:rsid w:val="00913BB2"/>
    <w:rsid w:val="00914812"/>
    <w:rsid w:val="009149D1"/>
    <w:rsid w:val="00916CA1"/>
    <w:rsid w:val="00917E90"/>
    <w:rsid w:val="00927E85"/>
    <w:rsid w:val="009327CB"/>
    <w:rsid w:val="00934DF2"/>
    <w:rsid w:val="00947FF5"/>
    <w:rsid w:val="00955EB6"/>
    <w:rsid w:val="0096132B"/>
    <w:rsid w:val="009751B7"/>
    <w:rsid w:val="00982B55"/>
    <w:rsid w:val="009915DB"/>
    <w:rsid w:val="009A3C86"/>
    <w:rsid w:val="009A4A8A"/>
    <w:rsid w:val="009B133B"/>
    <w:rsid w:val="009B2E32"/>
    <w:rsid w:val="009C1992"/>
    <w:rsid w:val="009C1BD5"/>
    <w:rsid w:val="009C643E"/>
    <w:rsid w:val="009C7BF1"/>
    <w:rsid w:val="009E0884"/>
    <w:rsid w:val="009E1A54"/>
    <w:rsid w:val="009E208F"/>
    <w:rsid w:val="00A00525"/>
    <w:rsid w:val="00A061B1"/>
    <w:rsid w:val="00A14BE7"/>
    <w:rsid w:val="00A27D8E"/>
    <w:rsid w:val="00A3140A"/>
    <w:rsid w:val="00A319F0"/>
    <w:rsid w:val="00A31F97"/>
    <w:rsid w:val="00A343A0"/>
    <w:rsid w:val="00A4070A"/>
    <w:rsid w:val="00A40C45"/>
    <w:rsid w:val="00A456A9"/>
    <w:rsid w:val="00A50A5B"/>
    <w:rsid w:val="00A5103E"/>
    <w:rsid w:val="00A577A7"/>
    <w:rsid w:val="00A64E1C"/>
    <w:rsid w:val="00A80C52"/>
    <w:rsid w:val="00A846E7"/>
    <w:rsid w:val="00A9000B"/>
    <w:rsid w:val="00AE217A"/>
    <w:rsid w:val="00AE4FA4"/>
    <w:rsid w:val="00AF1F4A"/>
    <w:rsid w:val="00AF3E01"/>
    <w:rsid w:val="00AF563D"/>
    <w:rsid w:val="00AF7731"/>
    <w:rsid w:val="00B12880"/>
    <w:rsid w:val="00B42066"/>
    <w:rsid w:val="00B43EA5"/>
    <w:rsid w:val="00B553AE"/>
    <w:rsid w:val="00B566DD"/>
    <w:rsid w:val="00B6025D"/>
    <w:rsid w:val="00B6201B"/>
    <w:rsid w:val="00B62A80"/>
    <w:rsid w:val="00B72EAC"/>
    <w:rsid w:val="00B813D6"/>
    <w:rsid w:val="00B8195E"/>
    <w:rsid w:val="00B871AF"/>
    <w:rsid w:val="00B920D0"/>
    <w:rsid w:val="00B928CD"/>
    <w:rsid w:val="00B93762"/>
    <w:rsid w:val="00B96585"/>
    <w:rsid w:val="00BA2E27"/>
    <w:rsid w:val="00BA386C"/>
    <w:rsid w:val="00BA444E"/>
    <w:rsid w:val="00BA6D6C"/>
    <w:rsid w:val="00BC00BC"/>
    <w:rsid w:val="00BD6270"/>
    <w:rsid w:val="00BD7731"/>
    <w:rsid w:val="00BE39D2"/>
    <w:rsid w:val="00BF0D1E"/>
    <w:rsid w:val="00BF1E8A"/>
    <w:rsid w:val="00BF350D"/>
    <w:rsid w:val="00BF5D11"/>
    <w:rsid w:val="00C163BF"/>
    <w:rsid w:val="00C24CDF"/>
    <w:rsid w:val="00C276E3"/>
    <w:rsid w:val="00C64BFF"/>
    <w:rsid w:val="00C67524"/>
    <w:rsid w:val="00C730B8"/>
    <w:rsid w:val="00C735F1"/>
    <w:rsid w:val="00C75532"/>
    <w:rsid w:val="00C8211F"/>
    <w:rsid w:val="00C85F2F"/>
    <w:rsid w:val="00C95654"/>
    <w:rsid w:val="00CC14BE"/>
    <w:rsid w:val="00CD3933"/>
    <w:rsid w:val="00CE02C3"/>
    <w:rsid w:val="00CE0786"/>
    <w:rsid w:val="00CE2366"/>
    <w:rsid w:val="00CE6445"/>
    <w:rsid w:val="00CF1025"/>
    <w:rsid w:val="00CF3F38"/>
    <w:rsid w:val="00CF5CDF"/>
    <w:rsid w:val="00D0303E"/>
    <w:rsid w:val="00D20042"/>
    <w:rsid w:val="00D36BFB"/>
    <w:rsid w:val="00D4170B"/>
    <w:rsid w:val="00D56BEA"/>
    <w:rsid w:val="00D60096"/>
    <w:rsid w:val="00D63E8D"/>
    <w:rsid w:val="00D66557"/>
    <w:rsid w:val="00D74C59"/>
    <w:rsid w:val="00D827DD"/>
    <w:rsid w:val="00D84BFA"/>
    <w:rsid w:val="00D9383F"/>
    <w:rsid w:val="00DC5DEE"/>
    <w:rsid w:val="00DD57F2"/>
    <w:rsid w:val="00DD5ED0"/>
    <w:rsid w:val="00DE3620"/>
    <w:rsid w:val="00DE622F"/>
    <w:rsid w:val="00DE7E98"/>
    <w:rsid w:val="00DF4DE0"/>
    <w:rsid w:val="00DF5707"/>
    <w:rsid w:val="00DF79B6"/>
    <w:rsid w:val="00E1785D"/>
    <w:rsid w:val="00E237C0"/>
    <w:rsid w:val="00E23BEB"/>
    <w:rsid w:val="00E310CF"/>
    <w:rsid w:val="00E3684C"/>
    <w:rsid w:val="00E40E4A"/>
    <w:rsid w:val="00E60AD3"/>
    <w:rsid w:val="00E60D85"/>
    <w:rsid w:val="00E7217F"/>
    <w:rsid w:val="00E92570"/>
    <w:rsid w:val="00E97185"/>
    <w:rsid w:val="00EB44E7"/>
    <w:rsid w:val="00EB47B5"/>
    <w:rsid w:val="00EB634A"/>
    <w:rsid w:val="00EB64C2"/>
    <w:rsid w:val="00EC6650"/>
    <w:rsid w:val="00EC6B63"/>
    <w:rsid w:val="00EC7817"/>
    <w:rsid w:val="00ED4D17"/>
    <w:rsid w:val="00EE1A1A"/>
    <w:rsid w:val="00EE2B29"/>
    <w:rsid w:val="00EF0249"/>
    <w:rsid w:val="00F02BAC"/>
    <w:rsid w:val="00F0597E"/>
    <w:rsid w:val="00F12ED6"/>
    <w:rsid w:val="00F26FE8"/>
    <w:rsid w:val="00F45AAA"/>
    <w:rsid w:val="00F60ECD"/>
    <w:rsid w:val="00F61F47"/>
    <w:rsid w:val="00F65AF2"/>
    <w:rsid w:val="00F72DF7"/>
    <w:rsid w:val="00F7399F"/>
    <w:rsid w:val="00F758BE"/>
    <w:rsid w:val="00F86840"/>
    <w:rsid w:val="00F87028"/>
    <w:rsid w:val="00F916AE"/>
    <w:rsid w:val="00F93429"/>
    <w:rsid w:val="00F94D1E"/>
    <w:rsid w:val="00F9784E"/>
    <w:rsid w:val="00FB7E9D"/>
    <w:rsid w:val="00FC639B"/>
    <w:rsid w:val="00FD762C"/>
    <w:rsid w:val="00FF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16F2B4-0A64-470D-9E64-A72925F1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AF2"/>
    <w:pPr>
      <w:spacing w:after="200" w:line="276" w:lineRule="auto"/>
    </w:pPr>
  </w:style>
  <w:style w:type="paragraph" w:styleId="Heading1">
    <w:name w:val="heading 1"/>
    <w:basedOn w:val="Normal"/>
    <w:link w:val="Heading1Char"/>
    <w:uiPriority w:val="9"/>
    <w:qFormat/>
    <w:locked/>
    <w:rsid w:val="00D6655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730B8"/>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C730B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C730B8"/>
    <w:rPr>
      <w:rFonts w:ascii="Times New Roman" w:hAnsi="Times New Roman" w:cs="Times New Roman"/>
      <w:sz w:val="20"/>
      <w:szCs w:val="20"/>
    </w:rPr>
  </w:style>
  <w:style w:type="character" w:styleId="FootnoteReference">
    <w:name w:val="footnote reference"/>
    <w:basedOn w:val="DefaultParagraphFont"/>
    <w:uiPriority w:val="99"/>
    <w:rsid w:val="00C730B8"/>
    <w:rPr>
      <w:rFonts w:cs="Times New Roman"/>
      <w:vertAlign w:val="superscript"/>
    </w:rPr>
  </w:style>
  <w:style w:type="character" w:styleId="Hyperlink">
    <w:name w:val="Hyperlink"/>
    <w:basedOn w:val="DefaultParagraphFont"/>
    <w:uiPriority w:val="99"/>
    <w:rsid w:val="00C730B8"/>
    <w:rPr>
      <w:rFonts w:cs="Times New Roman"/>
      <w:color w:val="0000FF"/>
      <w:u w:val="single"/>
    </w:rPr>
  </w:style>
  <w:style w:type="paragraph" w:styleId="ListParagraph">
    <w:name w:val="List Paragraph"/>
    <w:basedOn w:val="Normal"/>
    <w:uiPriority w:val="34"/>
    <w:qFormat/>
    <w:rsid w:val="00C730B8"/>
    <w:pPr>
      <w:spacing w:after="0" w:line="240" w:lineRule="auto"/>
      <w:ind w:left="720"/>
      <w:contextualSpacing/>
    </w:pPr>
    <w:rPr>
      <w:rFonts w:ascii="Times New Roman" w:eastAsia="Times New Roman" w:hAnsi="Times New Roman"/>
      <w:sz w:val="24"/>
      <w:szCs w:val="24"/>
    </w:rPr>
  </w:style>
  <w:style w:type="character" w:customStyle="1" w:styleId="apple-style-span">
    <w:name w:val="apple-style-span"/>
    <w:basedOn w:val="DefaultParagraphFont"/>
    <w:rsid w:val="00C730B8"/>
    <w:rPr>
      <w:rFonts w:cs="Times New Roman"/>
    </w:rPr>
  </w:style>
  <w:style w:type="character" w:customStyle="1" w:styleId="fullstory">
    <w:name w:val="fullstory"/>
    <w:basedOn w:val="DefaultParagraphFont"/>
    <w:rsid w:val="00C730B8"/>
    <w:rPr>
      <w:rFonts w:cs="Times New Roman"/>
    </w:rPr>
  </w:style>
  <w:style w:type="character" w:customStyle="1" w:styleId="text1">
    <w:name w:val="text1"/>
    <w:basedOn w:val="DefaultParagraphFont"/>
    <w:uiPriority w:val="99"/>
    <w:rsid w:val="00C730B8"/>
    <w:rPr>
      <w:rFonts w:cs="Times New Roman"/>
    </w:rPr>
  </w:style>
  <w:style w:type="paragraph" w:styleId="EndnoteText">
    <w:name w:val="endnote text"/>
    <w:basedOn w:val="Normal"/>
    <w:link w:val="EndnoteTextChar"/>
    <w:uiPriority w:val="99"/>
    <w:semiHidden/>
    <w:rsid w:val="00A343A0"/>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A343A0"/>
    <w:rPr>
      <w:rFonts w:ascii="Times New Roman" w:hAnsi="Times New Roman" w:cs="Times New Roman"/>
      <w:sz w:val="20"/>
      <w:szCs w:val="20"/>
    </w:rPr>
  </w:style>
  <w:style w:type="character" w:styleId="EndnoteReference">
    <w:name w:val="endnote reference"/>
    <w:basedOn w:val="DefaultParagraphFont"/>
    <w:uiPriority w:val="99"/>
    <w:semiHidden/>
    <w:rsid w:val="00A343A0"/>
    <w:rPr>
      <w:rFonts w:cs="Times New Roman"/>
      <w:vertAlign w:val="superscript"/>
    </w:rPr>
  </w:style>
  <w:style w:type="paragraph" w:styleId="BalloonText">
    <w:name w:val="Balloon Text"/>
    <w:basedOn w:val="Normal"/>
    <w:link w:val="BalloonTextChar"/>
    <w:uiPriority w:val="99"/>
    <w:semiHidden/>
    <w:rsid w:val="002A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8AC"/>
    <w:rPr>
      <w:rFonts w:ascii="Tahoma" w:hAnsi="Tahoma" w:cs="Tahoma"/>
      <w:sz w:val="16"/>
      <w:szCs w:val="16"/>
    </w:rPr>
  </w:style>
  <w:style w:type="character" w:styleId="CommentReference">
    <w:name w:val="annotation reference"/>
    <w:basedOn w:val="DefaultParagraphFont"/>
    <w:uiPriority w:val="99"/>
    <w:semiHidden/>
    <w:rsid w:val="002C1015"/>
    <w:rPr>
      <w:rFonts w:cs="Times New Roman"/>
      <w:sz w:val="16"/>
      <w:szCs w:val="16"/>
    </w:rPr>
  </w:style>
  <w:style w:type="paragraph" w:styleId="CommentText">
    <w:name w:val="annotation text"/>
    <w:basedOn w:val="Normal"/>
    <w:link w:val="CommentTextChar"/>
    <w:uiPriority w:val="99"/>
    <w:semiHidden/>
    <w:rsid w:val="002C1015"/>
    <w:rPr>
      <w:sz w:val="20"/>
      <w:szCs w:val="20"/>
    </w:rPr>
  </w:style>
  <w:style w:type="character" w:customStyle="1" w:styleId="CommentTextChar">
    <w:name w:val="Comment Text Char"/>
    <w:basedOn w:val="DefaultParagraphFont"/>
    <w:link w:val="CommentText"/>
    <w:uiPriority w:val="99"/>
    <w:semiHidden/>
    <w:rsid w:val="00211192"/>
    <w:rPr>
      <w:sz w:val="20"/>
      <w:szCs w:val="20"/>
    </w:rPr>
  </w:style>
  <w:style w:type="paragraph" w:styleId="CommentSubject">
    <w:name w:val="annotation subject"/>
    <w:basedOn w:val="CommentText"/>
    <w:next w:val="CommentText"/>
    <w:link w:val="CommentSubjectChar"/>
    <w:uiPriority w:val="99"/>
    <w:semiHidden/>
    <w:rsid w:val="002C1015"/>
    <w:rPr>
      <w:b/>
      <w:bCs/>
    </w:rPr>
  </w:style>
  <w:style w:type="character" w:customStyle="1" w:styleId="CommentSubjectChar">
    <w:name w:val="Comment Subject Char"/>
    <w:basedOn w:val="CommentTextChar"/>
    <w:link w:val="CommentSubject"/>
    <w:uiPriority w:val="99"/>
    <w:semiHidden/>
    <w:rsid w:val="00211192"/>
    <w:rPr>
      <w:b/>
      <w:bCs/>
      <w:sz w:val="20"/>
      <w:szCs w:val="20"/>
    </w:rPr>
  </w:style>
  <w:style w:type="paragraph" w:styleId="NormalWeb">
    <w:name w:val="Normal (Web)"/>
    <w:basedOn w:val="Normal"/>
    <w:uiPriority w:val="99"/>
    <w:unhideWhenUsed/>
    <w:rsid w:val="00C95654"/>
    <w:pPr>
      <w:spacing w:before="100" w:beforeAutospacing="1" w:after="100" w:afterAutospacing="1" w:line="240" w:lineRule="auto"/>
    </w:pPr>
    <w:rPr>
      <w:rFonts w:ascii="Times New Roman" w:eastAsia="Times New Roman" w:hAnsi="Times New Roman"/>
      <w:sz w:val="24"/>
      <w:szCs w:val="24"/>
    </w:rPr>
  </w:style>
  <w:style w:type="character" w:customStyle="1" w:styleId="lede-text-onlyhighlight">
    <w:name w:val="lede-text-only__highlight"/>
    <w:basedOn w:val="DefaultParagraphFont"/>
    <w:rsid w:val="00F916AE"/>
  </w:style>
  <w:style w:type="character" w:styleId="Strong">
    <w:name w:val="Strong"/>
    <w:basedOn w:val="DefaultParagraphFont"/>
    <w:uiPriority w:val="22"/>
    <w:qFormat/>
    <w:locked/>
    <w:rsid w:val="00F916AE"/>
    <w:rPr>
      <w:b/>
      <w:bCs/>
    </w:rPr>
  </w:style>
  <w:style w:type="paragraph" w:styleId="Revision">
    <w:name w:val="Revision"/>
    <w:hidden/>
    <w:uiPriority w:val="99"/>
    <w:semiHidden/>
    <w:rsid w:val="00B72EAC"/>
  </w:style>
  <w:style w:type="character" w:customStyle="1" w:styleId="Heading1Char">
    <w:name w:val="Heading 1 Char"/>
    <w:basedOn w:val="DefaultParagraphFont"/>
    <w:link w:val="Heading1"/>
    <w:uiPriority w:val="9"/>
    <w:rsid w:val="00D66557"/>
    <w:rPr>
      <w:rFonts w:ascii="Times New Roman" w:eastAsia="Times New Roman" w:hAnsi="Times New Roman"/>
      <w:b/>
      <w:bCs/>
      <w:kern w:val="36"/>
      <w:sz w:val="48"/>
      <w:szCs w:val="48"/>
    </w:rPr>
  </w:style>
  <w:style w:type="character" w:styleId="FollowedHyperlink">
    <w:name w:val="FollowedHyperlink"/>
    <w:basedOn w:val="DefaultParagraphFont"/>
    <w:uiPriority w:val="99"/>
    <w:semiHidden/>
    <w:unhideWhenUsed/>
    <w:rsid w:val="00F9784E"/>
    <w:rPr>
      <w:color w:val="800080" w:themeColor="followedHyperlink"/>
      <w:u w:val="single"/>
    </w:rPr>
  </w:style>
  <w:style w:type="paragraph" w:customStyle="1" w:styleId="graf">
    <w:name w:val="graf"/>
    <w:basedOn w:val="Normal"/>
    <w:rsid w:val="00714EA5"/>
    <w:pPr>
      <w:spacing w:before="100" w:beforeAutospacing="1" w:after="100" w:afterAutospacing="1" w:line="240" w:lineRule="auto"/>
    </w:pPr>
    <w:rPr>
      <w:rFonts w:ascii="Times New Roman" w:eastAsia="Times New Roman" w:hAnsi="Times New Roman"/>
      <w:sz w:val="24"/>
      <w:szCs w:val="24"/>
    </w:rPr>
  </w:style>
  <w:style w:type="character" w:customStyle="1" w:styleId="graf-dropcap">
    <w:name w:val="graf-dropcap"/>
    <w:basedOn w:val="DefaultParagraphFont"/>
    <w:rsid w:val="0071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4188">
      <w:bodyDiv w:val="1"/>
      <w:marLeft w:val="0"/>
      <w:marRight w:val="0"/>
      <w:marTop w:val="0"/>
      <w:marBottom w:val="0"/>
      <w:divBdr>
        <w:top w:val="none" w:sz="0" w:space="0" w:color="auto"/>
        <w:left w:val="none" w:sz="0" w:space="0" w:color="auto"/>
        <w:bottom w:val="none" w:sz="0" w:space="0" w:color="auto"/>
        <w:right w:val="none" w:sz="0" w:space="0" w:color="auto"/>
      </w:divBdr>
    </w:div>
    <w:div w:id="337658249">
      <w:bodyDiv w:val="1"/>
      <w:marLeft w:val="0"/>
      <w:marRight w:val="0"/>
      <w:marTop w:val="0"/>
      <w:marBottom w:val="0"/>
      <w:divBdr>
        <w:top w:val="none" w:sz="0" w:space="0" w:color="auto"/>
        <w:left w:val="none" w:sz="0" w:space="0" w:color="auto"/>
        <w:bottom w:val="none" w:sz="0" w:space="0" w:color="auto"/>
        <w:right w:val="none" w:sz="0" w:space="0" w:color="auto"/>
      </w:divBdr>
      <w:divsChild>
        <w:div w:id="1632318605">
          <w:marLeft w:val="0"/>
          <w:marRight w:val="0"/>
          <w:marTop w:val="0"/>
          <w:marBottom w:val="0"/>
          <w:divBdr>
            <w:top w:val="none" w:sz="0" w:space="0" w:color="auto"/>
            <w:left w:val="none" w:sz="0" w:space="0" w:color="auto"/>
            <w:bottom w:val="none" w:sz="0" w:space="0" w:color="auto"/>
            <w:right w:val="none" w:sz="0" w:space="0" w:color="auto"/>
          </w:divBdr>
          <w:divsChild>
            <w:div w:id="20754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9309">
      <w:bodyDiv w:val="1"/>
      <w:marLeft w:val="0"/>
      <w:marRight w:val="0"/>
      <w:marTop w:val="0"/>
      <w:marBottom w:val="0"/>
      <w:divBdr>
        <w:top w:val="none" w:sz="0" w:space="0" w:color="auto"/>
        <w:left w:val="none" w:sz="0" w:space="0" w:color="auto"/>
        <w:bottom w:val="none" w:sz="0" w:space="0" w:color="auto"/>
        <w:right w:val="none" w:sz="0" w:space="0" w:color="auto"/>
      </w:divBdr>
    </w:div>
    <w:div w:id="703867584">
      <w:bodyDiv w:val="1"/>
      <w:marLeft w:val="0"/>
      <w:marRight w:val="0"/>
      <w:marTop w:val="0"/>
      <w:marBottom w:val="0"/>
      <w:divBdr>
        <w:top w:val="none" w:sz="0" w:space="0" w:color="auto"/>
        <w:left w:val="none" w:sz="0" w:space="0" w:color="auto"/>
        <w:bottom w:val="none" w:sz="0" w:space="0" w:color="auto"/>
        <w:right w:val="none" w:sz="0" w:space="0" w:color="auto"/>
      </w:divBdr>
      <w:divsChild>
        <w:div w:id="35199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693403">
      <w:bodyDiv w:val="1"/>
      <w:marLeft w:val="0"/>
      <w:marRight w:val="0"/>
      <w:marTop w:val="0"/>
      <w:marBottom w:val="0"/>
      <w:divBdr>
        <w:top w:val="none" w:sz="0" w:space="0" w:color="auto"/>
        <w:left w:val="none" w:sz="0" w:space="0" w:color="auto"/>
        <w:bottom w:val="none" w:sz="0" w:space="0" w:color="auto"/>
        <w:right w:val="none" w:sz="0" w:space="0" w:color="auto"/>
      </w:divBdr>
    </w:div>
    <w:div w:id="955330607">
      <w:marLeft w:val="0"/>
      <w:marRight w:val="0"/>
      <w:marTop w:val="0"/>
      <w:marBottom w:val="0"/>
      <w:divBdr>
        <w:top w:val="none" w:sz="0" w:space="0" w:color="auto"/>
        <w:left w:val="none" w:sz="0" w:space="0" w:color="auto"/>
        <w:bottom w:val="none" w:sz="0" w:space="0" w:color="auto"/>
        <w:right w:val="none" w:sz="0" w:space="0" w:color="auto"/>
      </w:divBdr>
    </w:div>
    <w:div w:id="955330608">
      <w:marLeft w:val="0"/>
      <w:marRight w:val="0"/>
      <w:marTop w:val="0"/>
      <w:marBottom w:val="0"/>
      <w:divBdr>
        <w:top w:val="none" w:sz="0" w:space="0" w:color="auto"/>
        <w:left w:val="none" w:sz="0" w:space="0" w:color="auto"/>
        <w:bottom w:val="none" w:sz="0" w:space="0" w:color="auto"/>
        <w:right w:val="none" w:sz="0" w:space="0" w:color="auto"/>
      </w:divBdr>
    </w:div>
    <w:div w:id="1232738941">
      <w:bodyDiv w:val="1"/>
      <w:marLeft w:val="0"/>
      <w:marRight w:val="0"/>
      <w:marTop w:val="0"/>
      <w:marBottom w:val="0"/>
      <w:divBdr>
        <w:top w:val="none" w:sz="0" w:space="0" w:color="auto"/>
        <w:left w:val="none" w:sz="0" w:space="0" w:color="auto"/>
        <w:bottom w:val="none" w:sz="0" w:space="0" w:color="auto"/>
        <w:right w:val="none" w:sz="0" w:space="0" w:color="auto"/>
      </w:divBdr>
    </w:div>
    <w:div w:id="1301576232">
      <w:bodyDiv w:val="1"/>
      <w:marLeft w:val="0"/>
      <w:marRight w:val="0"/>
      <w:marTop w:val="0"/>
      <w:marBottom w:val="0"/>
      <w:divBdr>
        <w:top w:val="none" w:sz="0" w:space="0" w:color="auto"/>
        <w:left w:val="none" w:sz="0" w:space="0" w:color="auto"/>
        <w:bottom w:val="none" w:sz="0" w:space="0" w:color="auto"/>
        <w:right w:val="none" w:sz="0" w:space="0" w:color="auto"/>
      </w:divBdr>
    </w:div>
    <w:div w:id="1848209153">
      <w:bodyDiv w:val="1"/>
      <w:marLeft w:val="0"/>
      <w:marRight w:val="0"/>
      <w:marTop w:val="0"/>
      <w:marBottom w:val="0"/>
      <w:divBdr>
        <w:top w:val="none" w:sz="0" w:space="0" w:color="auto"/>
        <w:left w:val="none" w:sz="0" w:space="0" w:color="auto"/>
        <w:bottom w:val="none" w:sz="0" w:space="0" w:color="auto"/>
        <w:right w:val="none" w:sz="0" w:space="0" w:color="auto"/>
      </w:divBdr>
    </w:div>
    <w:div w:id="19190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foe.org/news/news-releases/2017-03-statement-on-trumps-plan-for-nafta-renegotiation" TargetMode="External"/><Relationship Id="rId13" Type="http://schemas.openxmlformats.org/officeDocument/2006/relationships/hyperlink" Target="https://www.bloomberg.com/news/articles/2017-05-03/ross-says-tpp-could-form-starting-point-for-u-s-on-nafta-talks" TargetMode="External"/><Relationship Id="rId18" Type="http://schemas.openxmlformats.org/officeDocument/2006/relationships/hyperlink" Target="https://www.nytimes.com/2017/07/11/business/the-deep-industry-ties-of-trumps-deregulation-teams.html?hp&amp;action=click&amp;pgtype=Homepage&amp;clickSource=story-heading&amp;module=first-column-region&amp;region=top-news&amp;WT.nav=top-news&amp;_r=0" TargetMode="External"/><Relationship Id="rId26" Type="http://schemas.openxmlformats.org/officeDocument/2006/relationships/hyperlink" Target="http://www.foe.org/news/news-releases/2016-03-bipartisan-defeat-of-senate-gmo-dark-act-a-victory-for-right-to-knowhttp://www.foe.org/news/news-releases/2016-03-bipartisan-defeat-of-senate-gmo-dark-act-a-victory-for-right-to-know" TargetMode="External"/><Relationship Id="rId39" Type="http://schemas.openxmlformats.org/officeDocument/2006/relationships/hyperlink" Target="http://www.foe.org/system/storage/877/b0/6/3031/ISSUE_BRIEF_TAFTA_overview_3.pdf" TargetMode="External"/><Relationship Id="rId3" Type="http://schemas.openxmlformats.org/officeDocument/2006/relationships/hyperlink" Target="http://www.slate.com/articles/health_and_science/science/2017/05/trump_hates_regulations_because_he_doesn_t_understand_them.html" TargetMode="External"/><Relationship Id="rId21" Type="http://schemas.openxmlformats.org/officeDocument/2006/relationships/hyperlink" Target="http://www.foe.org/news/archives/2015-03-fast-track-attack-chemical-safety-and-food-labels-un" TargetMode="External"/><Relationship Id="rId34" Type="http://schemas.openxmlformats.org/officeDocument/2006/relationships/hyperlink" Target="http://www.foe.org/news/archives/2012-06-the-tpp-trade-agreement-investment-chapter-is-an-env" TargetMode="External"/><Relationship Id="rId42" Type="http://schemas.openxmlformats.org/officeDocument/2006/relationships/hyperlink" Target="file:///C:\Users\wwaren\AppData\Local\Microsoft\Windows\Temporary%20Internet%20Files\Content.Outlook\LY9074ZK\Sen.%20Elizabeth%20Warren:%20Trade%20deal%20must%20not%20undercut%20Wall%20Street%20reforms" TargetMode="External"/><Relationship Id="rId7" Type="http://schemas.openxmlformats.org/officeDocument/2006/relationships/hyperlink" Target="https://www.congress.gov/114/plaws/publ26/PLAW-114publ26.pdf" TargetMode="External"/><Relationship Id="rId12" Type="http://schemas.openxmlformats.org/officeDocument/2006/relationships/hyperlink" Target="https://wikileaks.org/tisa/Analysis-TiSA-Annex-on-Environment-related-Services/Analysis-TiSA-Annex-on-Environment-related-Services.pdf" TargetMode="External"/><Relationship Id="rId17" Type="http://schemas.openxmlformats.org/officeDocument/2006/relationships/hyperlink" Target="https://www.regulations.gov/document?D=USTR-2017-0006-0874" TargetMode="External"/><Relationship Id="rId25" Type="http://schemas.openxmlformats.org/officeDocument/2006/relationships/hyperlink" Target="https://www.mprnews.org/story/2016/08/26/dayton-orders-steps-protect-bees-pollinators" TargetMode="External"/><Relationship Id="rId33" Type="http://schemas.openxmlformats.org/officeDocument/2006/relationships/hyperlink" Target="https://euobserver.com/opinion/128350" TargetMode="External"/><Relationship Id="rId38" Type="http://schemas.openxmlformats.org/officeDocument/2006/relationships/hyperlink" Target="http://www.foe.org/news/archives/2013-04-free-trade-in-frankenfish-trans-atlantic-free-trade" TargetMode="External"/><Relationship Id="rId2" Type="http://schemas.openxmlformats.org/officeDocument/2006/relationships/hyperlink" Target="http://www.slate.com/authors.steph_tai.html" TargetMode="External"/><Relationship Id="rId16" Type="http://schemas.openxmlformats.org/officeDocument/2006/relationships/hyperlink" Target="https://www.regulations.gov/document?D=USTR-2017-0006-1401" TargetMode="External"/><Relationship Id="rId20" Type="http://schemas.openxmlformats.org/officeDocument/2006/relationships/hyperlink" Target="https://www.sierraclub.org/sites/www.sierraclub.org/files/uploads-wysiwig/TPP%20letter%20FINAL%20%282%29.pdf" TargetMode="External"/><Relationship Id="rId29" Type="http://schemas.openxmlformats.org/officeDocument/2006/relationships/hyperlink" Target="http://www.foe.org/news/archives/2015-03-trade-deal-attack-on-safe-food-and-sustainable-agric" TargetMode="External"/><Relationship Id="rId41" Type="http://schemas.openxmlformats.org/officeDocument/2006/relationships/hyperlink" Target="http://www.foe.org/news/archives/2015-02-tall-tales-of-the-tpp" TargetMode="External"/><Relationship Id="rId1" Type="http://schemas.openxmlformats.org/officeDocument/2006/relationships/hyperlink" Target="http://www.slate.com/authors.cale_jaffe.html" TargetMode="External"/><Relationship Id="rId6" Type="http://schemas.openxmlformats.org/officeDocument/2006/relationships/hyperlink" Target="https://ustr.gov/about-us/policy-offices/press-office/press-releases/2017/may/ustr-trump-administration-announces" TargetMode="External"/><Relationship Id="rId11" Type="http://schemas.openxmlformats.org/officeDocument/2006/relationships/hyperlink" Target="https://medium.com/economic-policy/president-obama-dodges-pacific-trade-deal-threat-to-the-environment-7f9b4ff44c91" TargetMode="External"/><Relationship Id="rId24" Type="http://schemas.openxmlformats.org/officeDocument/2006/relationships/hyperlink" Target="http://webiva-downton.s3.amazonaws.com/877/58/2/6702/Assessment.Trade_deal_attack_on_pollinator_protection.pdf" TargetMode="External"/><Relationship Id="rId32" Type="http://schemas.openxmlformats.org/officeDocument/2006/relationships/hyperlink" Target="http://www.foe.org/system/storage/877/b0/6/3031/ISSUE_BRIEF_TAFTA_overview_3.pdf" TargetMode="External"/><Relationship Id="rId37" Type="http://schemas.openxmlformats.org/officeDocument/2006/relationships/hyperlink" Target="https://www.foodandwaterwatch.org/sites/default/files/fs_1608_tpp-biotech-web.pdf" TargetMode="External"/><Relationship Id="rId40" Type="http://schemas.openxmlformats.org/officeDocument/2006/relationships/hyperlink" Target="http://www.osgoode.yorku.ca/public-statement-international-investment-regime-31-august-2010/" TargetMode="External"/><Relationship Id="rId45" Type="http://schemas.openxmlformats.org/officeDocument/2006/relationships/hyperlink" Target="https://medium.com/economic-policy/president-obama-dodges-pacific-trade-deal-threat-to-the-environment-7f9b4ff44c91" TargetMode="External"/><Relationship Id="rId5" Type="http://schemas.openxmlformats.org/officeDocument/2006/relationships/hyperlink" Target="http://www.citizenstrade.org/ctc/blog/2017/01/13/labor-nonprofit-groups-outline-priority-nafta-changes/" TargetMode="External"/><Relationship Id="rId15" Type="http://schemas.openxmlformats.org/officeDocument/2006/relationships/hyperlink" Target="https://www.regulations.gov/document?D=USTR-2017-0006-0806" TargetMode="External"/><Relationship Id="rId23" Type="http://schemas.openxmlformats.org/officeDocument/2006/relationships/hyperlink" Target="https://www.omm.com/resources/alerts-and-publications/alerts/congress-passes-amendments-to-tsca/" TargetMode="External"/><Relationship Id="rId28" Type="http://schemas.openxmlformats.org/officeDocument/2006/relationships/hyperlink" Target="http://spudman.com/article/nafta-renegotiation-offers-opportunities/" TargetMode="External"/><Relationship Id="rId36" Type="http://schemas.openxmlformats.org/officeDocument/2006/relationships/hyperlink" Target="https://euobserver.com/opinion/128350" TargetMode="External"/><Relationship Id="rId10" Type="http://schemas.openxmlformats.org/officeDocument/2006/relationships/hyperlink" Target="http://www.foe.org/news/news-releases/2017-05-trumps-nafta-re-do-threatens-people-and-the-planet" TargetMode="External"/><Relationship Id="rId19" Type="http://schemas.openxmlformats.org/officeDocument/2006/relationships/hyperlink" Target="http://www.foe.org/news/news-releases/2017-06-paris-agreement-withdrawal" TargetMode="External"/><Relationship Id="rId31" Type="http://schemas.openxmlformats.org/officeDocument/2006/relationships/hyperlink" Target="http://www.foe.org/news/archives/2012-06-the-tpp-trade-agreement-investment-chapter-is-an-env" TargetMode="External"/><Relationship Id="rId44" Type="http://schemas.openxmlformats.org/officeDocument/2006/relationships/hyperlink" Target="http://ssrn.com/abstract=1740031" TargetMode="External"/><Relationship Id="rId4" Type="http://schemas.openxmlformats.org/officeDocument/2006/relationships/hyperlink" Target="https://www.sierraclub.org/sites/www.sierraclub.org/files/uploads-wysiwig/NAFTA%20Enviro%20Redlines%20FINAL.pdf" TargetMode="External"/><Relationship Id="rId9" Type="http://schemas.openxmlformats.org/officeDocument/2006/relationships/hyperlink" Target="https://www.commondreams.org/newswire/2017/05/18/will-nafta-renegotiation-produce-tpp-20-and-intensify-damage-or-fulfill-trump" TargetMode="External"/><Relationship Id="rId14" Type="http://schemas.openxmlformats.org/officeDocument/2006/relationships/hyperlink" Target="https://www.regulations.gov/document?D=USTR-2017-0006-0862" TargetMode="External"/><Relationship Id="rId22" Type="http://schemas.openxmlformats.org/officeDocument/2006/relationships/hyperlink" Target="http://www.foe.org/news/archives/2013-06-sinister-partners-transatlantic-trade-agreement--toxi" TargetMode="External"/><Relationship Id="rId27" Type="http://schemas.openxmlformats.org/officeDocument/2006/relationships/hyperlink" Target="http://www.reuters.com/article/us-usa-mexico-tuna-idUSKBN0N51IW20150414" TargetMode="External"/><Relationship Id="rId30" Type="http://schemas.openxmlformats.org/officeDocument/2006/relationships/hyperlink" Target="https://medium.com/economic-policy/7-ways-the-trans-pacific-partnership-threatens-people-and-the-planet-ad49815f337b" TargetMode="External"/><Relationship Id="rId35" Type="http://schemas.openxmlformats.org/officeDocument/2006/relationships/hyperlink" Target="http://www.foe.org/system/storage/877/b0/6/3031/ISSUE_BRIEF_TAFTA_overview_3.pdf" TargetMode="External"/><Relationship Id="rId43" Type="http://schemas.openxmlformats.org/officeDocument/2006/relationships/hyperlink" Target="http://www.foe.org/news/archives/2014-12-sen-elizabeth-warren-trade-deal-must-not-undercut-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C98A-FC00-4AFE-9A36-957A2D46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9517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Draft Joint Green Group Letter Opposing 3 FTAs</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Joint Green Group Letter Opposing 3 FTAs</dc:title>
  <dc:creator>William Waren</dc:creator>
  <cp:lastModifiedBy>Waren, William</cp:lastModifiedBy>
  <cp:revision>2</cp:revision>
  <cp:lastPrinted>2017-07-13T13:18:00Z</cp:lastPrinted>
  <dcterms:created xsi:type="dcterms:W3CDTF">2017-07-13T17:15:00Z</dcterms:created>
  <dcterms:modified xsi:type="dcterms:W3CDTF">2017-07-13T17:15:00Z</dcterms:modified>
</cp:coreProperties>
</file>