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C121" w14:textId="77777777" w:rsidR="00B57248" w:rsidRDefault="00B57248" w:rsidP="00B57248">
      <w:pPr>
        <w:jc w:val="center"/>
      </w:pPr>
      <w:r>
        <w:rPr>
          <w:noProof/>
        </w:rPr>
        <w:drawing>
          <wp:inline distT="0" distB="0" distL="0" distR="0" wp14:anchorId="15613A3B" wp14:editId="48DCF24B">
            <wp:extent cx="3033906" cy="1436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W-color-6in.doc.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9049" cy="1457417"/>
                    </a:xfrm>
                    <a:prstGeom prst="rect">
                      <a:avLst/>
                    </a:prstGeom>
                  </pic:spPr>
                </pic:pic>
              </a:graphicData>
            </a:graphic>
          </wp:inline>
        </w:drawing>
      </w:r>
    </w:p>
    <w:p w14:paraId="3BA8C6E4" w14:textId="650861B9" w:rsidR="00B57248" w:rsidRDefault="00B57248" w:rsidP="008518C5">
      <w:pPr>
        <w:pStyle w:val="NoSpacing"/>
        <w:jc w:val="center"/>
      </w:pPr>
    </w:p>
    <w:p w14:paraId="0D99E3E8" w14:textId="63C8EBC2" w:rsidR="008518C5" w:rsidRDefault="008518C5" w:rsidP="008518C5">
      <w:pPr>
        <w:pStyle w:val="NoSpacing"/>
        <w:jc w:val="center"/>
      </w:pPr>
    </w:p>
    <w:p w14:paraId="2E095F53" w14:textId="389AB192" w:rsidR="008518C5" w:rsidRDefault="008518C5" w:rsidP="008518C5">
      <w:pPr>
        <w:pStyle w:val="NoSpacing"/>
        <w:jc w:val="center"/>
      </w:pPr>
    </w:p>
    <w:p w14:paraId="219AED48" w14:textId="77777777" w:rsidR="008518C5" w:rsidRPr="008518C5" w:rsidRDefault="008518C5" w:rsidP="001769BF">
      <w:pPr>
        <w:pStyle w:val="NoSpacing"/>
        <w:jc w:val="center"/>
      </w:pPr>
    </w:p>
    <w:p w14:paraId="3B8D52FA" w14:textId="54815D50" w:rsidR="008518C5" w:rsidRDefault="008518C5" w:rsidP="008518C5">
      <w:pPr>
        <w:pStyle w:val="NoSpacing"/>
        <w:jc w:val="center"/>
      </w:pPr>
      <w:r w:rsidRPr="008518C5">
        <w:t>Statement for the record</w:t>
      </w:r>
    </w:p>
    <w:p w14:paraId="01E5B4BD" w14:textId="77777777" w:rsidR="008518C5" w:rsidRPr="008518C5" w:rsidRDefault="008518C5" w:rsidP="001769BF">
      <w:pPr>
        <w:pStyle w:val="NoSpacing"/>
        <w:jc w:val="center"/>
      </w:pPr>
    </w:p>
    <w:p w14:paraId="382BC9D2" w14:textId="645365A3" w:rsidR="008518C5" w:rsidRDefault="008518C5" w:rsidP="008518C5">
      <w:pPr>
        <w:pStyle w:val="NoSpacing"/>
        <w:jc w:val="center"/>
      </w:pPr>
      <w:r w:rsidRPr="008518C5">
        <w:t>O</w:t>
      </w:r>
      <w:r w:rsidR="00B57248" w:rsidRPr="008518C5">
        <w:t>f</w:t>
      </w:r>
    </w:p>
    <w:p w14:paraId="6E6F1A25" w14:textId="77777777" w:rsidR="008518C5" w:rsidRPr="008518C5" w:rsidRDefault="008518C5" w:rsidP="001769BF">
      <w:pPr>
        <w:pStyle w:val="NoSpacing"/>
        <w:jc w:val="center"/>
      </w:pPr>
    </w:p>
    <w:p w14:paraId="04EF226D" w14:textId="77777777" w:rsidR="008518C5" w:rsidRDefault="008518C5" w:rsidP="008518C5">
      <w:pPr>
        <w:pStyle w:val="NoSpacing"/>
        <w:jc w:val="center"/>
      </w:pPr>
      <w:r w:rsidRPr="008518C5">
        <w:t xml:space="preserve">The United Steel, Paper and Forestry, Rubber, </w:t>
      </w:r>
    </w:p>
    <w:p w14:paraId="7F0F29C4" w14:textId="4815BC8C" w:rsidR="008518C5" w:rsidRPr="008518C5" w:rsidRDefault="008518C5" w:rsidP="001769BF">
      <w:pPr>
        <w:pStyle w:val="NoSpacing"/>
        <w:jc w:val="center"/>
      </w:pPr>
      <w:r w:rsidRPr="008518C5">
        <w:t>Manufacturing, Energy, Allied Industrial and Service</w:t>
      </w:r>
    </w:p>
    <w:p w14:paraId="03C242D6" w14:textId="374AFEEB" w:rsidR="008518C5" w:rsidRDefault="008518C5" w:rsidP="008518C5">
      <w:pPr>
        <w:pStyle w:val="NoSpacing"/>
        <w:jc w:val="center"/>
      </w:pPr>
      <w:r w:rsidRPr="008518C5">
        <w:t>Workers International Union (USW)</w:t>
      </w:r>
    </w:p>
    <w:p w14:paraId="5322526A" w14:textId="77777777" w:rsidR="008518C5" w:rsidRPr="008518C5" w:rsidRDefault="008518C5" w:rsidP="001769BF">
      <w:pPr>
        <w:pStyle w:val="NoSpacing"/>
        <w:jc w:val="center"/>
      </w:pPr>
    </w:p>
    <w:p w14:paraId="4E8ABE51" w14:textId="66C08C90" w:rsidR="008518C5" w:rsidRDefault="008518C5" w:rsidP="008518C5">
      <w:pPr>
        <w:pStyle w:val="NoSpacing"/>
        <w:jc w:val="center"/>
      </w:pPr>
      <w:r w:rsidRPr="008518C5">
        <w:t>for the</w:t>
      </w:r>
    </w:p>
    <w:p w14:paraId="03DD6B46" w14:textId="77777777" w:rsidR="008518C5" w:rsidRPr="008518C5" w:rsidRDefault="008518C5" w:rsidP="001769BF">
      <w:pPr>
        <w:pStyle w:val="NoSpacing"/>
        <w:jc w:val="center"/>
      </w:pPr>
    </w:p>
    <w:p w14:paraId="3BB41A91" w14:textId="1460F695" w:rsidR="008518C5" w:rsidRDefault="008518C5" w:rsidP="008518C5">
      <w:pPr>
        <w:pStyle w:val="NoSpacing"/>
        <w:jc w:val="center"/>
      </w:pPr>
      <w:r w:rsidRPr="008518C5">
        <w:t>Committee on Finance</w:t>
      </w:r>
    </w:p>
    <w:p w14:paraId="66E05CE9" w14:textId="3F0782C7" w:rsidR="008518C5" w:rsidRDefault="008518C5" w:rsidP="008518C5">
      <w:pPr>
        <w:pStyle w:val="NoSpacing"/>
        <w:jc w:val="center"/>
      </w:pPr>
      <w:r w:rsidRPr="008518C5">
        <w:t>Subcommittee on International Trade, Customs, and Global Competitiveness</w:t>
      </w:r>
    </w:p>
    <w:p w14:paraId="39FE642B" w14:textId="77777777" w:rsidR="008518C5" w:rsidRPr="008518C5" w:rsidRDefault="008518C5" w:rsidP="001769BF">
      <w:pPr>
        <w:pStyle w:val="NoSpacing"/>
        <w:jc w:val="center"/>
      </w:pPr>
    </w:p>
    <w:p w14:paraId="076C1129" w14:textId="6F559FFB" w:rsidR="008518C5" w:rsidRDefault="008518C5" w:rsidP="008518C5">
      <w:pPr>
        <w:pStyle w:val="NoSpacing"/>
        <w:jc w:val="center"/>
      </w:pPr>
      <w:r w:rsidRPr="008518C5">
        <w:t>hearing on</w:t>
      </w:r>
    </w:p>
    <w:p w14:paraId="42E762A2" w14:textId="77777777" w:rsidR="008518C5" w:rsidRPr="008518C5" w:rsidRDefault="008518C5" w:rsidP="001769BF">
      <w:pPr>
        <w:pStyle w:val="NoSpacing"/>
        <w:jc w:val="center"/>
      </w:pPr>
    </w:p>
    <w:p w14:paraId="57DAF542" w14:textId="56EC7372" w:rsidR="008518C5" w:rsidRDefault="008518C5" w:rsidP="008518C5">
      <w:pPr>
        <w:pStyle w:val="NoSpacing"/>
        <w:jc w:val="center"/>
      </w:pPr>
      <w:r>
        <w:t>“</w:t>
      </w:r>
      <w:r w:rsidRPr="008518C5">
        <w:t>The Strategic Benefits of a Multilateral Approach to Trade Policy in the Asia-Pacific Region”</w:t>
      </w:r>
    </w:p>
    <w:p w14:paraId="74C89A31" w14:textId="4ED04582" w:rsidR="008518C5" w:rsidRDefault="008518C5" w:rsidP="008518C5">
      <w:pPr>
        <w:pStyle w:val="NoSpacing"/>
        <w:jc w:val="center"/>
      </w:pPr>
    </w:p>
    <w:p w14:paraId="270761DF" w14:textId="4F8DA252" w:rsidR="008518C5" w:rsidRDefault="008518C5" w:rsidP="008518C5">
      <w:pPr>
        <w:pStyle w:val="NoSpacing"/>
        <w:jc w:val="center"/>
      </w:pPr>
    </w:p>
    <w:p w14:paraId="0799025A" w14:textId="13FBF304" w:rsidR="008518C5" w:rsidRDefault="008518C5" w:rsidP="008518C5">
      <w:pPr>
        <w:pStyle w:val="NoSpacing"/>
        <w:jc w:val="center"/>
      </w:pPr>
    </w:p>
    <w:p w14:paraId="43A69C65" w14:textId="69CAB484" w:rsidR="008518C5" w:rsidRDefault="008518C5" w:rsidP="008518C5">
      <w:pPr>
        <w:pStyle w:val="NoSpacing"/>
        <w:jc w:val="center"/>
      </w:pPr>
    </w:p>
    <w:p w14:paraId="207C2663" w14:textId="55D97629" w:rsidR="008518C5" w:rsidRDefault="008518C5" w:rsidP="008518C5">
      <w:pPr>
        <w:pStyle w:val="NoSpacing"/>
        <w:jc w:val="center"/>
      </w:pPr>
    </w:p>
    <w:p w14:paraId="1296E6B4" w14:textId="77777777" w:rsidR="008518C5" w:rsidRDefault="008518C5" w:rsidP="008518C5">
      <w:pPr>
        <w:pStyle w:val="NoSpacing"/>
        <w:jc w:val="center"/>
      </w:pPr>
    </w:p>
    <w:p w14:paraId="4D461358" w14:textId="77777777" w:rsidR="008518C5" w:rsidRPr="008518C5" w:rsidRDefault="008518C5" w:rsidP="001769BF">
      <w:pPr>
        <w:pStyle w:val="NoSpacing"/>
        <w:jc w:val="center"/>
      </w:pPr>
    </w:p>
    <w:p w14:paraId="3A4AAFC3" w14:textId="196A714B" w:rsidR="00B57248" w:rsidRPr="008518C5" w:rsidRDefault="008518C5" w:rsidP="001769BF">
      <w:pPr>
        <w:pStyle w:val="NoSpacing"/>
        <w:jc w:val="center"/>
      </w:pPr>
      <w:r>
        <w:t>June 22</w:t>
      </w:r>
      <w:r w:rsidRPr="008518C5">
        <w:t xml:space="preserve">, 2021 </w:t>
      </w:r>
      <w:r w:rsidR="00B57248" w:rsidRPr="008518C5">
        <w:br w:type="page"/>
      </w:r>
    </w:p>
    <w:p w14:paraId="06CC17C3" w14:textId="2485C105" w:rsidR="00ED4C8E" w:rsidRDefault="00001A91" w:rsidP="001769BF">
      <w:pPr>
        <w:pStyle w:val="NoSpacing"/>
        <w:ind w:firstLine="720"/>
        <w:jc w:val="both"/>
      </w:pPr>
      <w:r w:rsidRPr="00001A91">
        <w:lastRenderedPageBreak/>
        <w:t xml:space="preserve">The United Steel, Paper and Forestry, Rubber, Manufacturing, Energy, Allied Industrial and Service Workers International Union (USW) is North America’s largest industrial union representing 1.2 million active and retired members. We </w:t>
      </w:r>
      <w:r>
        <w:t>welcome the opportunity to</w:t>
      </w:r>
      <w:r w:rsidRPr="00001A91">
        <w:t xml:space="preserve"> comment </w:t>
      </w:r>
      <w:r>
        <w:t xml:space="preserve">and submit this statement </w:t>
      </w:r>
      <w:r w:rsidRPr="00001A91">
        <w:t>on the subject of today’s hearing</w:t>
      </w:r>
      <w:r>
        <w:t>.</w:t>
      </w:r>
    </w:p>
    <w:p w14:paraId="632B32A6" w14:textId="77777777" w:rsidR="009A247D" w:rsidRDefault="009A247D" w:rsidP="009A247D">
      <w:pPr>
        <w:pStyle w:val="NoSpacing"/>
        <w:jc w:val="both"/>
      </w:pPr>
    </w:p>
    <w:p w14:paraId="5EB837A7" w14:textId="2E2AD6FA" w:rsidR="00CC165B" w:rsidRDefault="00001A91" w:rsidP="001769BF">
      <w:pPr>
        <w:pStyle w:val="NoSpacing"/>
        <w:ind w:firstLine="720"/>
        <w:jc w:val="both"/>
      </w:pPr>
      <w:r w:rsidRPr="00001A91">
        <w:t>The</w:t>
      </w:r>
      <w:r>
        <w:t xml:space="preserve"> union questions the title of this hearing given the significant challenges multi-lateral trade negotiations have yet to overcome since the U.S. started entering into modern trade agreements.</w:t>
      </w:r>
      <w:r w:rsidRPr="00001A91">
        <w:t xml:space="preserve"> </w:t>
      </w:r>
      <w:r w:rsidR="00CC165B">
        <w:t xml:space="preserve">The failure of multi-lateral agreements to </w:t>
      </w:r>
      <w:r w:rsidR="0086355E">
        <w:t>significantly address income inequality</w:t>
      </w:r>
      <w:r w:rsidR="00CC165B">
        <w:t xml:space="preserve"> </w:t>
      </w:r>
      <w:r w:rsidR="002C6663">
        <w:t xml:space="preserve">among </w:t>
      </w:r>
      <w:r w:rsidR="009D105F">
        <w:t xml:space="preserve">signatory </w:t>
      </w:r>
      <w:r w:rsidR="00CC165B">
        <w:t>countries</w:t>
      </w:r>
      <w:r w:rsidR="0086355E">
        <w:t xml:space="preserve"> coincides with the failure </w:t>
      </w:r>
      <w:r w:rsidR="00CC165B">
        <w:t>to address labor</w:t>
      </w:r>
      <w:r w:rsidR="000C79A0">
        <w:t>, migration,</w:t>
      </w:r>
      <w:r w:rsidR="00CC165B">
        <w:t xml:space="preserve"> and environmental standards in a manner that ensures fair economic competition and a high rule of law.</w:t>
      </w:r>
      <w:r w:rsidR="000C79A0">
        <w:rPr>
          <w:rStyle w:val="FootnoteReference"/>
        </w:rPr>
        <w:footnoteReference w:id="1"/>
      </w:r>
      <w:r w:rsidR="00CC165B">
        <w:t xml:space="preserve"> </w:t>
      </w:r>
      <w:r w:rsidR="00797DE4">
        <w:t xml:space="preserve">Unfortunately the </w:t>
      </w:r>
      <w:r w:rsidR="00125AF3">
        <w:t xml:space="preserve">title of the </w:t>
      </w:r>
      <w:r w:rsidR="00797DE4">
        <w:t>hearing</w:t>
      </w:r>
      <w:r w:rsidR="00125AF3">
        <w:t>,</w:t>
      </w:r>
      <w:r w:rsidR="00CC165B">
        <w:t xml:space="preserve"> “</w:t>
      </w:r>
      <w:r w:rsidRPr="00001A91">
        <w:t>Strategic Benefits of a Multilateral Approach to Trade Policy in the Asia-Pacific Region</w:t>
      </w:r>
      <w:r w:rsidR="00125AF3">
        <w:t>,</w:t>
      </w:r>
      <w:r w:rsidR="00CC165B">
        <w:t xml:space="preserve">” </w:t>
      </w:r>
      <w:r w:rsidR="002C6663">
        <w:t xml:space="preserve">shows a clear </w:t>
      </w:r>
      <w:r w:rsidR="00CC165B">
        <w:t xml:space="preserve"> bias to</w:t>
      </w:r>
      <w:r w:rsidR="00287060">
        <w:t>wards</w:t>
      </w:r>
      <w:r w:rsidR="00CC165B">
        <w:t xml:space="preserve"> the status quo</w:t>
      </w:r>
      <w:r w:rsidR="00125AF3">
        <w:t>, with</w:t>
      </w:r>
      <w:r>
        <w:t xml:space="preserve"> the chairs of the hearing </w:t>
      </w:r>
      <w:r w:rsidR="00CC165B">
        <w:t>hav</w:t>
      </w:r>
      <w:r w:rsidR="00125AF3">
        <w:t>ing</w:t>
      </w:r>
      <w:r w:rsidR="00CC165B">
        <w:t xml:space="preserve"> openly called for re-engagement into the Transpacific Partnership (TPP) in a public op-ed</w:t>
      </w:r>
      <w:r w:rsidR="00CC165B">
        <w:rPr>
          <w:rStyle w:val="FootnoteReference"/>
        </w:rPr>
        <w:footnoteReference w:id="2"/>
      </w:r>
      <w:r w:rsidR="00CC165B" w:rsidRPr="00CC165B">
        <w:t xml:space="preserve"> </w:t>
      </w:r>
      <w:r w:rsidR="00287060">
        <w:t xml:space="preserve">and failed to include any representatives of workers on the hearing agenda. </w:t>
      </w:r>
    </w:p>
    <w:p w14:paraId="2E4BD4AE" w14:textId="77777777" w:rsidR="009A247D" w:rsidRDefault="009A247D" w:rsidP="009A247D">
      <w:pPr>
        <w:pStyle w:val="NoSpacing"/>
        <w:jc w:val="both"/>
      </w:pPr>
    </w:p>
    <w:p w14:paraId="5C3BFB20" w14:textId="1750124B" w:rsidR="00001A91" w:rsidRDefault="00CC165B" w:rsidP="001769BF">
      <w:pPr>
        <w:pStyle w:val="NoSpacing"/>
        <w:ind w:firstLine="720"/>
        <w:jc w:val="both"/>
      </w:pPr>
      <w:r w:rsidRPr="00CC165B">
        <w:t>Supporters of the TPP say that it represents 40% of the world's economic activity (GDP), but they fail to mention that the U.S.</w:t>
      </w:r>
      <w:r w:rsidR="009A247D">
        <w:t>,</w:t>
      </w:r>
      <w:r w:rsidRPr="00CC165B">
        <w:t xml:space="preserve"> and </w:t>
      </w:r>
      <w:r w:rsidR="00FA53ED">
        <w:t>the members of the TPP with whom the U.S. already has a trade agreement with</w:t>
      </w:r>
      <w:r w:rsidR="009A247D">
        <w:t>,</w:t>
      </w:r>
      <w:r w:rsidR="00FA53ED">
        <w:t xml:space="preserve"> constitute</w:t>
      </w:r>
      <w:r w:rsidRPr="00CC165B">
        <w:t xml:space="preserve"> 80% of that 40%. The other five countries represent the other 20%, with Japan alone being 17.7% of that total.</w:t>
      </w:r>
      <w:r>
        <w:rPr>
          <w:rStyle w:val="FootnoteReference"/>
        </w:rPr>
        <w:footnoteReference w:id="3"/>
      </w:r>
      <w:r>
        <w:t xml:space="preserve"> </w:t>
      </w:r>
    </w:p>
    <w:p w14:paraId="75DA90E6" w14:textId="77777777" w:rsidR="009A247D" w:rsidRDefault="009A247D" w:rsidP="009A247D">
      <w:pPr>
        <w:pStyle w:val="NoSpacing"/>
        <w:jc w:val="both"/>
      </w:pPr>
    </w:p>
    <w:p w14:paraId="041DE554" w14:textId="76FBE7F2" w:rsidR="00CC165B" w:rsidRDefault="002065A2" w:rsidP="001769BF">
      <w:pPr>
        <w:pStyle w:val="NoSpacing"/>
        <w:ind w:firstLine="720"/>
        <w:jc w:val="both"/>
      </w:pPr>
      <w:r>
        <w:t>Some say that a</w:t>
      </w:r>
      <w:r w:rsidR="00CC165B">
        <w:t xml:space="preserve"> strategic benefit of multilateral negotiations</w:t>
      </w:r>
      <w:r w:rsidR="00CF107A">
        <w:t xml:space="preserve">, if there is even a need for one, is </w:t>
      </w:r>
      <w:r w:rsidR="00CC165B">
        <w:t>to better account for the blanket inadequacies that continue to plague</w:t>
      </w:r>
      <w:r w:rsidR="00FE37EC">
        <w:t xml:space="preserve"> free</w:t>
      </w:r>
      <w:r w:rsidR="00CC165B">
        <w:t xml:space="preserve"> trade</w:t>
      </w:r>
      <w:r w:rsidR="00FE37EC">
        <w:t xml:space="preserve"> agreement (FTA)</w:t>
      </w:r>
      <w:r w:rsidR="00CC165B">
        <w:t xml:space="preserve"> negotiations. </w:t>
      </w:r>
      <w:r w:rsidR="000C79A0">
        <w:t>For example, proponents of the TPP have recently highlighted that the People’s Republic of China is</w:t>
      </w:r>
      <w:r w:rsidR="000C79A0" w:rsidRPr="000C79A0">
        <w:t xml:space="preserve"> starting talks on technical details of </w:t>
      </w:r>
      <w:r w:rsidR="009A247D">
        <w:t xml:space="preserve">the </w:t>
      </w:r>
      <w:r w:rsidR="000C79A0" w:rsidRPr="000C79A0">
        <w:t>CPTPP pact</w:t>
      </w:r>
      <w:r w:rsidR="000C79A0">
        <w:t>, the follow</w:t>
      </w:r>
      <w:r w:rsidR="009A247D">
        <w:t>-up</w:t>
      </w:r>
      <w:r w:rsidR="000C79A0">
        <w:t xml:space="preserve"> to the agreement after the U.S. made the decision to withdraw from the pact.</w:t>
      </w:r>
      <w:r w:rsidR="000C79A0">
        <w:rPr>
          <w:rStyle w:val="FootnoteReference"/>
        </w:rPr>
        <w:footnoteReference w:id="4"/>
      </w:r>
      <w:r w:rsidR="000C79A0">
        <w:t xml:space="preserve"> This </w:t>
      </w:r>
      <w:r w:rsidR="00FE37EC">
        <w:t>effort to have Chin</w:t>
      </w:r>
      <w:r w:rsidR="00797DE4">
        <w:t>a</w:t>
      </w:r>
      <w:r w:rsidR="00FE37EC">
        <w:t xml:space="preserve"> dock onto the FTA </w:t>
      </w:r>
      <w:r w:rsidR="000C79A0">
        <w:t>will be a multi-year process but ultimately one that the labor and environmental communit</w:t>
      </w:r>
      <w:r w:rsidR="00125AF3">
        <w:t>ies</w:t>
      </w:r>
      <w:r w:rsidR="000C79A0">
        <w:t xml:space="preserve"> </w:t>
      </w:r>
      <w:r w:rsidR="00125AF3">
        <w:t xml:space="preserve">have </w:t>
      </w:r>
      <w:r w:rsidR="000C79A0">
        <w:t xml:space="preserve">highlighted as </w:t>
      </w:r>
      <w:r w:rsidR="00E05EF1">
        <w:t>a sign of the serious</w:t>
      </w:r>
      <w:r w:rsidR="000C79A0">
        <w:t xml:space="preserve"> deficienc</w:t>
      </w:r>
      <w:r w:rsidR="00E05EF1">
        <w:t>ies</w:t>
      </w:r>
      <w:r w:rsidR="000C79A0">
        <w:t xml:space="preserve"> of the </w:t>
      </w:r>
      <w:r w:rsidR="002D2F27">
        <w:t>agreement</w:t>
      </w:r>
      <w:r w:rsidR="000C79A0">
        <w:t xml:space="preserve">. The TPP contained a “docking agreement” which was highlighted by opponents </w:t>
      </w:r>
      <w:r w:rsidR="00125AF3">
        <w:t>of</w:t>
      </w:r>
      <w:r w:rsidR="000C79A0">
        <w:t xml:space="preserve"> th</w:t>
      </w:r>
      <w:r w:rsidR="00FE37EC">
        <w:t>is inadequate free</w:t>
      </w:r>
      <w:r w:rsidR="00125AF3">
        <w:t xml:space="preserve"> </w:t>
      </w:r>
      <w:r w:rsidR="00FE37EC">
        <w:t>trade</w:t>
      </w:r>
      <w:r w:rsidR="00125AF3">
        <w:t xml:space="preserve"> </w:t>
      </w:r>
      <w:r w:rsidR="00FE37EC">
        <w:t>agreement as a me</w:t>
      </w:r>
      <w:r w:rsidR="00125AF3">
        <w:t>ans</w:t>
      </w:r>
      <w:r w:rsidR="00FE37EC">
        <w:t xml:space="preserve"> </w:t>
      </w:r>
      <w:r w:rsidR="00125AF3">
        <w:t xml:space="preserve">to </w:t>
      </w:r>
      <w:r w:rsidR="00FE37EC">
        <w:t>reduce debate and governmental process for trade negotiations</w:t>
      </w:r>
      <w:r w:rsidR="00C264F8">
        <w:t xml:space="preserve"> and to fast track new entrants</w:t>
      </w:r>
      <w:r w:rsidR="00FE37EC">
        <w:t>.</w:t>
      </w:r>
      <w:r w:rsidR="00CF107A">
        <w:rPr>
          <w:rStyle w:val="FootnoteReference"/>
        </w:rPr>
        <w:footnoteReference w:id="5"/>
      </w:r>
      <w:r w:rsidR="00C264F8">
        <w:t xml:space="preserve">   </w:t>
      </w:r>
      <w:r w:rsidR="009A247D">
        <w:t xml:space="preserve">The notion that </w:t>
      </w:r>
      <w:r w:rsidR="00C264F8">
        <w:t xml:space="preserve">China could even be a potential member of the CPTPP highlights its </w:t>
      </w:r>
      <w:r w:rsidR="00676E7D">
        <w:t>serious limitations</w:t>
      </w:r>
      <w:r w:rsidR="00C264F8">
        <w:t>.</w:t>
      </w:r>
    </w:p>
    <w:p w14:paraId="087F59C0" w14:textId="77777777" w:rsidR="009A247D" w:rsidRDefault="009A247D" w:rsidP="009A247D">
      <w:pPr>
        <w:pStyle w:val="NoSpacing"/>
        <w:jc w:val="both"/>
      </w:pPr>
    </w:p>
    <w:p w14:paraId="09F36DCF" w14:textId="07BB7BFD" w:rsidR="00FE37EC" w:rsidRDefault="002D2F27" w:rsidP="009A247D">
      <w:pPr>
        <w:pStyle w:val="NoSpacing"/>
        <w:ind w:firstLine="720"/>
        <w:jc w:val="both"/>
      </w:pPr>
      <w:r>
        <w:t>There was extensive work done in the 114</w:t>
      </w:r>
      <w:r w:rsidRPr="002D2F27">
        <w:rPr>
          <w:vertAlign w:val="superscript"/>
        </w:rPr>
        <w:t>th</w:t>
      </w:r>
      <w:r>
        <w:t xml:space="preserve"> Congress to highlight the inadequacies of the TPP as negotiated</w:t>
      </w:r>
      <w:r w:rsidR="00125AF3">
        <w:t>,</w:t>
      </w:r>
      <w:r>
        <w:t xml:space="preserve"> and many of those </w:t>
      </w:r>
      <w:r w:rsidR="00DB2D75">
        <w:t>provisions</w:t>
      </w:r>
      <w:r>
        <w:t xml:space="preserve"> remain in the CPTPP. The Rules of Origin</w:t>
      </w:r>
      <w:r w:rsidR="00CF107A">
        <w:t xml:space="preserve"> (ROO)</w:t>
      </w:r>
      <w:r>
        <w:t xml:space="preserve">, which guide the amount of content a product must contain from the trade party countries to qualify for duty free status, were significantly less than what has been recently negotiated in USMCA.  </w:t>
      </w:r>
      <w:r w:rsidR="00CF107A">
        <w:t xml:space="preserve">At the time of U.S. negotiations, the TPP created a ROO that a car can enter the United States duty free with just 45% content from TPP countries. And that </w:t>
      </w:r>
      <w:r w:rsidR="00125AF3">
        <w:t xml:space="preserve">45% </w:t>
      </w:r>
      <w:r w:rsidR="00CF107A">
        <w:t>figure does not count the additional flexibilities provided in a special appendix. There was analysis that indicated</w:t>
      </w:r>
      <w:r w:rsidR="00125AF3">
        <w:t>,</w:t>
      </w:r>
      <w:r w:rsidR="00CF107A">
        <w:t xml:space="preserve"> depending on the methodology used</w:t>
      </w:r>
      <w:r w:rsidR="00125AF3">
        <w:t>, that</w:t>
      </w:r>
      <w:r w:rsidR="00CF107A">
        <w:t xml:space="preserve"> an auto</w:t>
      </w:r>
      <w:r w:rsidR="00B53181">
        <w:t>mobile</w:t>
      </w:r>
      <w:r w:rsidR="00CF107A">
        <w:t xml:space="preserve"> </w:t>
      </w:r>
      <w:r w:rsidR="00CF107A">
        <w:lastRenderedPageBreak/>
        <w:t>would need as little as 3</w:t>
      </w:r>
      <w:r w:rsidR="00B74E22">
        <w:t>7</w:t>
      </w:r>
      <w:r w:rsidR="00CF107A">
        <w:t>% trade partner content.</w:t>
      </w:r>
      <w:r w:rsidR="00CF107A">
        <w:rPr>
          <w:rStyle w:val="FootnoteReference"/>
        </w:rPr>
        <w:footnoteReference w:id="6"/>
      </w:r>
      <w:r w:rsidR="006D1EE2">
        <w:t xml:space="preserve"> The AFL-CIO also provided extensive comments on the inadequacies of the TPP that are </w:t>
      </w:r>
      <w:r w:rsidR="00B74E22">
        <w:t xml:space="preserve">just as </w:t>
      </w:r>
      <w:r w:rsidR="006D1EE2">
        <w:t>relevant to the conversation today.</w:t>
      </w:r>
      <w:r w:rsidR="006D1EE2">
        <w:rPr>
          <w:rStyle w:val="FootnoteReference"/>
        </w:rPr>
        <w:footnoteReference w:id="7"/>
      </w:r>
    </w:p>
    <w:p w14:paraId="3E9053BB" w14:textId="77777777" w:rsidR="00B53181" w:rsidRDefault="00B53181" w:rsidP="001769BF">
      <w:pPr>
        <w:pStyle w:val="NoSpacing"/>
        <w:ind w:firstLine="720"/>
        <w:jc w:val="both"/>
      </w:pPr>
    </w:p>
    <w:p w14:paraId="5AC84AB5" w14:textId="11403005" w:rsidR="008F1868" w:rsidRDefault="008F1868" w:rsidP="00B53181">
      <w:pPr>
        <w:pStyle w:val="NoSpacing"/>
        <w:ind w:firstLine="720"/>
        <w:jc w:val="both"/>
      </w:pPr>
      <w:r>
        <w:t xml:space="preserve">Future trade agreements </w:t>
      </w:r>
      <w:r w:rsidR="0033777D">
        <w:t xml:space="preserve">in the Asia-Pacific </w:t>
      </w:r>
      <w:r>
        <w:t>will also need to</w:t>
      </w:r>
      <w:r w:rsidR="0033777D">
        <w:t xml:space="preserve"> better</w:t>
      </w:r>
      <w:r>
        <w:t xml:space="preserve"> address China’s growth</w:t>
      </w:r>
      <w:r w:rsidR="0033777D">
        <w:t xml:space="preserve"> of state enterprises in ASEAN and CPTPP countries using the Belt and Road Initiative. For example, </w:t>
      </w:r>
      <w:r w:rsidR="0033777D" w:rsidRPr="0033777D">
        <w:t xml:space="preserve">Guangxi </w:t>
      </w:r>
      <w:proofErr w:type="spellStart"/>
      <w:r w:rsidR="0033777D" w:rsidRPr="0033777D">
        <w:t>Beibu</w:t>
      </w:r>
      <w:proofErr w:type="spellEnd"/>
      <w:r w:rsidR="0033777D" w:rsidRPr="0033777D">
        <w:t xml:space="preserve"> Gulf International Port Group Company Ltd</w:t>
      </w:r>
      <w:r w:rsidR="00125AF3">
        <w:t>.,</w:t>
      </w:r>
      <w:r w:rsidR="0033777D" w:rsidRPr="0033777D">
        <w:t xml:space="preserve"> a large-scale wholly State-owned enterprise directly under the management of Guangxi Zhuang autonomous regional government</w:t>
      </w:r>
      <w:r w:rsidR="0033777D">
        <w:t xml:space="preserve">, has recently signed an agreement to jointly operate the </w:t>
      </w:r>
      <w:proofErr w:type="spellStart"/>
      <w:r w:rsidR="0033777D" w:rsidRPr="0033777D">
        <w:t>Muara</w:t>
      </w:r>
      <w:proofErr w:type="spellEnd"/>
      <w:r w:rsidR="0033777D" w:rsidRPr="0033777D">
        <w:t xml:space="preserve"> port, Brunei’s largest port.</w:t>
      </w:r>
      <w:r w:rsidR="0033777D">
        <w:rPr>
          <w:rStyle w:val="FootnoteReference"/>
        </w:rPr>
        <w:footnoteReference w:id="8"/>
      </w:r>
      <w:r w:rsidR="00797DE4">
        <w:t xml:space="preserve"> Investments by large state enterprises </w:t>
      </w:r>
      <w:r w:rsidR="00125AF3">
        <w:t xml:space="preserve">that </w:t>
      </w:r>
      <w:r w:rsidR="00797DE4">
        <w:t xml:space="preserve">create uncompetitive advantages for domestic producers will need to </w:t>
      </w:r>
      <w:r w:rsidR="00125AF3">
        <w:t xml:space="preserve">be </w:t>
      </w:r>
      <w:r w:rsidR="00797DE4">
        <w:t xml:space="preserve">better accounted </w:t>
      </w:r>
      <w:r w:rsidR="00125AF3">
        <w:t xml:space="preserve">for </w:t>
      </w:r>
      <w:r w:rsidR="00797DE4">
        <w:t>before entering into any future trade negotiations in the region.</w:t>
      </w:r>
      <w:r w:rsidR="00D9789D">
        <w:t xml:space="preserve"> Even the business members of the Advisory Committee on Trade Policy and Negotiations (ACTPN), an advisory group to the Obama Administration, highlighted the </w:t>
      </w:r>
      <w:r w:rsidR="00911B19">
        <w:t xml:space="preserve">serious problems with the TPP’s provisions on SOEs that would allow for all previously-provided subsidies to be grandfathered in and </w:t>
      </w:r>
      <w:r w:rsidR="00D36515">
        <w:t>that could limit claims of injury in certain cases only if they lasted a year or more.</w:t>
      </w:r>
    </w:p>
    <w:p w14:paraId="215726E4" w14:textId="77777777" w:rsidR="00B53181" w:rsidRDefault="00B53181" w:rsidP="001769BF">
      <w:pPr>
        <w:pStyle w:val="NoSpacing"/>
        <w:ind w:firstLine="720"/>
        <w:jc w:val="both"/>
      </w:pPr>
    </w:p>
    <w:p w14:paraId="50E6D78C" w14:textId="667EECF5" w:rsidR="0033777D" w:rsidRDefault="00EC6C1E" w:rsidP="00B53181">
      <w:pPr>
        <w:pStyle w:val="NoSpacing"/>
        <w:ind w:firstLine="720"/>
        <w:jc w:val="both"/>
      </w:pPr>
      <w:r>
        <w:t>Of particular interest to the USW is</w:t>
      </w:r>
      <w:r w:rsidR="0033777D">
        <w:t xml:space="preserve"> </w:t>
      </w:r>
      <w:r w:rsidR="00D36515">
        <w:t xml:space="preserve">the </w:t>
      </w:r>
      <w:r w:rsidR="0033777D">
        <w:t xml:space="preserve">well documented </w:t>
      </w:r>
      <w:r w:rsidR="003532B4">
        <w:t xml:space="preserve">issue of </w:t>
      </w:r>
      <w:r w:rsidR="0033777D">
        <w:t xml:space="preserve">Chinese foreign direct investment in the Asia-Pacific region </w:t>
      </w:r>
      <w:r>
        <w:t xml:space="preserve">which </w:t>
      </w:r>
      <w:r w:rsidR="0033777D">
        <w:t xml:space="preserve">will lead to increased steel capacity in the region that </w:t>
      </w:r>
      <w:r w:rsidR="003532B4">
        <w:t xml:space="preserve">would contribute further to global overcapacity and potentially harm </w:t>
      </w:r>
      <w:r w:rsidR="003428D0">
        <w:t>U.S.</w:t>
      </w:r>
      <w:r w:rsidR="0033777D">
        <w:t xml:space="preserve"> producers. The </w:t>
      </w:r>
      <w:r w:rsidR="0033777D" w:rsidRPr="0033777D">
        <w:t>South East Asia Iron and Steel Institute (SEAISI)</w:t>
      </w:r>
      <w:r w:rsidR="00797DE4">
        <w:t xml:space="preserve"> documented in 2020 that Chinese</w:t>
      </w:r>
      <w:r w:rsidR="00125AF3">
        <w:t>-</w:t>
      </w:r>
      <w:r w:rsidR="00797DE4">
        <w:t xml:space="preserve">led steel sector investments are pouring over 61 million tons of additional steel capacity </w:t>
      </w:r>
      <w:r w:rsidR="00C21D55">
        <w:t xml:space="preserve">into the region </w:t>
      </w:r>
      <w:r w:rsidR="00797DE4">
        <w:t>in the near future.</w:t>
      </w:r>
      <w:r w:rsidR="00797DE4">
        <w:rPr>
          <w:rStyle w:val="FootnoteReference"/>
        </w:rPr>
        <w:footnoteReference w:id="9"/>
      </w:r>
      <w:r w:rsidR="00797DE4">
        <w:t xml:space="preserve"> For perspective</w:t>
      </w:r>
      <w:r w:rsidR="0069477E">
        <w:t>,</w:t>
      </w:r>
      <w:r w:rsidR="00797DE4">
        <w:t xml:space="preserve"> the current projected capacity increases are almost two thirds U.S. annual production. It is likely that this additional capacity will lead </w:t>
      </w:r>
      <w:r w:rsidR="0069477E">
        <w:t xml:space="preserve">to </w:t>
      </w:r>
      <w:r w:rsidR="00797DE4">
        <w:t>increased import pressures for U.S. producers</w:t>
      </w:r>
      <w:r w:rsidR="00726FC7">
        <w:t>.  As</w:t>
      </w:r>
      <w:r w:rsidR="00797DE4">
        <w:t xml:space="preserve"> the largest union in </w:t>
      </w:r>
      <w:r w:rsidR="00726FC7">
        <w:t xml:space="preserve">key industries such as </w:t>
      </w:r>
      <w:r w:rsidR="00797DE4">
        <w:t>steel, rubber, glass, and paper</w:t>
      </w:r>
      <w:r w:rsidR="00726FC7">
        <w:t>, we believe</w:t>
      </w:r>
      <w:r w:rsidR="00797DE4">
        <w:t xml:space="preserve"> policy makers should do everything in their power to ensure strong domestic supply chains</w:t>
      </w:r>
      <w:r w:rsidR="00516CF6">
        <w:t xml:space="preserve"> and not allow trade agreements to be a vehicle for Chinese state supported or subsidized commodities flooding our market</w:t>
      </w:r>
      <w:r w:rsidR="00797DE4">
        <w:t>.</w:t>
      </w:r>
    </w:p>
    <w:p w14:paraId="1FC4AB0C" w14:textId="77777777" w:rsidR="00B53181" w:rsidRDefault="00B53181" w:rsidP="001769BF">
      <w:pPr>
        <w:pStyle w:val="NoSpacing"/>
        <w:ind w:firstLine="720"/>
        <w:jc w:val="both"/>
      </w:pPr>
    </w:p>
    <w:p w14:paraId="42E7EEE0" w14:textId="56E2A7C0" w:rsidR="00EC6C1E" w:rsidRDefault="00516CF6" w:rsidP="00B53181">
      <w:pPr>
        <w:pStyle w:val="NoSpacing"/>
        <w:ind w:firstLine="720"/>
        <w:jc w:val="both"/>
      </w:pPr>
      <w:r>
        <w:t>A</w:t>
      </w:r>
      <w:r w:rsidR="00EC6C1E">
        <w:t xml:space="preserve">dditional upgrades to our trade enforcement regime to respond to twenty-first century trade distortions should be prioritized before renewing </w:t>
      </w:r>
      <w:r>
        <w:t xml:space="preserve">any </w:t>
      </w:r>
      <w:r w:rsidR="00EC6C1E">
        <w:t>FTA discussions. Legislation like</w:t>
      </w:r>
      <w:r w:rsidR="00EC6C1E" w:rsidRPr="00EC6C1E">
        <w:t xml:space="preserve"> S.1187 - Eliminating Global Market Distortions </w:t>
      </w:r>
      <w:r w:rsidR="00EC6C1E">
        <w:t>t</w:t>
      </w:r>
      <w:r w:rsidR="00EC6C1E" w:rsidRPr="00EC6C1E">
        <w:t>o Protect American Jobs Act of 2021</w:t>
      </w:r>
      <w:r w:rsidR="00EC6C1E">
        <w:t xml:space="preserve"> </w:t>
      </w:r>
      <w:r w:rsidR="00157830">
        <w:t xml:space="preserve">– </w:t>
      </w:r>
      <w:r w:rsidR="00EC6C1E">
        <w:t>must take Finance committee priority before</w:t>
      </w:r>
      <w:r>
        <w:t xml:space="preserve"> pursuing</w:t>
      </w:r>
      <w:r w:rsidR="00EC6C1E">
        <w:t xml:space="preserve"> a traditional </w:t>
      </w:r>
      <w:r>
        <w:t xml:space="preserve">and flawed </w:t>
      </w:r>
      <w:r w:rsidR="00EC6C1E">
        <w:t>trade agreement model that has significantly underperformed on improving wages, hours and working conditions for workers in all countries.</w:t>
      </w:r>
      <w:r w:rsidR="00EC6C1E">
        <w:rPr>
          <w:rStyle w:val="FootnoteReference"/>
        </w:rPr>
        <w:footnoteReference w:id="10"/>
      </w:r>
    </w:p>
    <w:p w14:paraId="504A5A06" w14:textId="77777777" w:rsidR="00B53181" w:rsidRDefault="00B53181" w:rsidP="001769BF">
      <w:pPr>
        <w:pStyle w:val="NoSpacing"/>
        <w:ind w:firstLine="720"/>
        <w:jc w:val="both"/>
      </w:pPr>
    </w:p>
    <w:p w14:paraId="56C3D91F" w14:textId="4F6C79E3" w:rsidR="00CC165B" w:rsidRDefault="00726FC7" w:rsidP="00B53181">
      <w:pPr>
        <w:pStyle w:val="NoSpacing"/>
        <w:ind w:firstLine="720"/>
        <w:jc w:val="both"/>
      </w:pPr>
      <w:r>
        <w:t>Ignoring</w:t>
      </w:r>
      <w:r w:rsidR="00CF107A">
        <w:t xml:space="preserve"> the lessons of trade negotiations during the United States</w:t>
      </w:r>
      <w:r>
        <w:t>-</w:t>
      </w:r>
      <w:r w:rsidR="00CF107A">
        <w:t>Mexico</w:t>
      </w:r>
      <w:r>
        <w:t>-</w:t>
      </w:r>
      <w:r w:rsidR="00CF107A">
        <w:t>Canada Agreement (USMCA) would also be a dramatic policy failure by Congress. Supply chains must be better monitored for labor and environmental violations and multi-national companies must be held accountable for labor and environmental violations</w:t>
      </w:r>
      <w:r w:rsidR="008F1868">
        <w:t>. Improved ROO provisions in USMCA also ensure that the automobile supply chain remains in the USMCA zone and develops wage standards for the first time.</w:t>
      </w:r>
    </w:p>
    <w:p w14:paraId="0F8CCDEA" w14:textId="77777777" w:rsidR="00B53181" w:rsidRDefault="00B53181" w:rsidP="001769BF">
      <w:pPr>
        <w:pStyle w:val="NoSpacing"/>
        <w:ind w:firstLine="720"/>
        <w:jc w:val="both"/>
      </w:pPr>
    </w:p>
    <w:p w14:paraId="3CDBC180" w14:textId="27C43252" w:rsidR="00B03FC7" w:rsidRDefault="00B03FC7" w:rsidP="00B53181">
      <w:pPr>
        <w:pStyle w:val="NoSpacing"/>
        <w:ind w:firstLine="720"/>
        <w:jc w:val="both"/>
      </w:pPr>
      <w:r>
        <w:lastRenderedPageBreak/>
        <w:t xml:space="preserve">These are just some of the serious flaws in the TPP that generated the opposition of both Democratic and Republican Presidential candidates in 2016.   </w:t>
      </w:r>
      <w:r w:rsidR="00B33D0F">
        <w:t>There was broad bipartisan opposition, recognizing that the flawed, failed policies of the past should be abandoned.</w:t>
      </w:r>
    </w:p>
    <w:p w14:paraId="2CCB42FD" w14:textId="77777777" w:rsidR="00B53181" w:rsidRDefault="00B53181" w:rsidP="001769BF">
      <w:pPr>
        <w:pStyle w:val="NoSpacing"/>
        <w:ind w:firstLine="720"/>
        <w:jc w:val="both"/>
      </w:pPr>
    </w:p>
    <w:p w14:paraId="326D5A9F" w14:textId="0711ACFF" w:rsidR="008F1868" w:rsidRDefault="008F1868" w:rsidP="001769BF">
      <w:pPr>
        <w:pStyle w:val="NoSpacing"/>
        <w:ind w:firstLine="720"/>
        <w:jc w:val="both"/>
      </w:pPr>
      <w:r>
        <w:t xml:space="preserve">The Biden Administration has committed to </w:t>
      </w:r>
      <w:r w:rsidR="00797DE4">
        <w:t>creating a more “worker-centered” trade policy</w:t>
      </w:r>
      <w:r w:rsidR="003428D0">
        <w:t>.</w:t>
      </w:r>
      <w:r w:rsidR="003428D0">
        <w:rPr>
          <w:rStyle w:val="FootnoteReference"/>
        </w:rPr>
        <w:footnoteReference w:id="11"/>
      </w:r>
      <w:r w:rsidR="00EC6C1E">
        <w:t xml:space="preserve"> </w:t>
      </w:r>
      <w:r w:rsidR="003428D0">
        <w:t>T</w:t>
      </w:r>
      <w:r w:rsidR="00EC6C1E">
        <w:t xml:space="preserve">he </w:t>
      </w:r>
      <w:r w:rsidR="00726FC7">
        <w:t>USW</w:t>
      </w:r>
      <w:r w:rsidR="00EC6C1E">
        <w:t xml:space="preserve"> plans to work closely </w:t>
      </w:r>
      <w:r w:rsidR="003428D0">
        <w:t xml:space="preserve">with the Administration and </w:t>
      </w:r>
      <w:r w:rsidR="006D1EE2">
        <w:t xml:space="preserve">urges </w:t>
      </w:r>
      <w:r w:rsidR="00B33D0F">
        <w:t>C</w:t>
      </w:r>
      <w:r w:rsidR="003428D0">
        <w:t xml:space="preserve">ongress to do the same </w:t>
      </w:r>
      <w:r w:rsidR="00EC6C1E">
        <w:t>to ensure the current discussion creates an environment where trade policy puts workers</w:t>
      </w:r>
      <w:r w:rsidR="00726FC7">
        <w:t>’</w:t>
      </w:r>
      <w:r w:rsidR="00EC6C1E">
        <w:t xml:space="preserve"> rights, environmental sustainability and democratic norms ahead of tariff cuts and special protections for investors like the Investor State Dispute Settlement (ISDS).</w:t>
      </w:r>
      <w:r w:rsidR="006D1EE2">
        <w:t xml:space="preserve"> </w:t>
      </w:r>
    </w:p>
    <w:p w14:paraId="4C2656D4" w14:textId="77777777" w:rsidR="00B57248" w:rsidRDefault="00B57248" w:rsidP="009A247D">
      <w:pPr>
        <w:pStyle w:val="NoSpacing"/>
        <w:jc w:val="both"/>
      </w:pPr>
    </w:p>
    <w:p w14:paraId="6430694B" w14:textId="3580A63E" w:rsidR="00B33D0F" w:rsidRDefault="00B33D0F" w:rsidP="001769BF">
      <w:pPr>
        <w:pStyle w:val="NoSpacing"/>
        <w:ind w:firstLine="720"/>
        <w:jc w:val="both"/>
      </w:pPr>
      <w:bookmarkStart w:id="0" w:name="_GoBack"/>
      <w:r>
        <w:t>There is a path forward.   But it has to be a different path</w:t>
      </w:r>
      <w:r w:rsidR="00D066C1">
        <w:t>.  Workers need trade policies that create growth and broadly shared opportunity, sustainable development</w:t>
      </w:r>
      <w:r w:rsidR="008437BB">
        <w:t xml:space="preserve">, and consumer and health protections.   The TPP fails to measure up on any of those </w:t>
      </w:r>
      <w:r w:rsidR="007527AE">
        <w:t>metrics.</w:t>
      </w:r>
    </w:p>
    <w:bookmarkEnd w:id="0"/>
    <w:p w14:paraId="283A4FDE" w14:textId="77777777" w:rsidR="003428D0" w:rsidRDefault="003428D0" w:rsidP="009A247D">
      <w:pPr>
        <w:pStyle w:val="NoSpacing"/>
        <w:jc w:val="both"/>
      </w:pPr>
    </w:p>
    <w:sectPr w:rsidR="003428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976DC" w14:textId="77777777" w:rsidR="0040264F" w:rsidRDefault="0040264F" w:rsidP="00CC165B">
      <w:pPr>
        <w:spacing w:after="0" w:line="240" w:lineRule="auto"/>
      </w:pPr>
      <w:r>
        <w:separator/>
      </w:r>
    </w:p>
  </w:endnote>
  <w:endnote w:type="continuationSeparator" w:id="0">
    <w:p w14:paraId="0E1AF47B" w14:textId="77777777" w:rsidR="0040264F" w:rsidRDefault="0040264F" w:rsidP="00CC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31AC9" w14:textId="77777777" w:rsidR="0040264F" w:rsidRDefault="0040264F" w:rsidP="00CC165B">
      <w:pPr>
        <w:spacing w:after="0" w:line="240" w:lineRule="auto"/>
      </w:pPr>
      <w:r>
        <w:separator/>
      </w:r>
    </w:p>
  </w:footnote>
  <w:footnote w:type="continuationSeparator" w:id="0">
    <w:p w14:paraId="6ECFB567" w14:textId="77777777" w:rsidR="0040264F" w:rsidRDefault="0040264F" w:rsidP="00CC165B">
      <w:pPr>
        <w:spacing w:after="0" w:line="240" w:lineRule="auto"/>
      </w:pPr>
      <w:r>
        <w:continuationSeparator/>
      </w:r>
    </w:p>
  </w:footnote>
  <w:footnote w:id="1">
    <w:p w14:paraId="53317F7E" w14:textId="77777777" w:rsidR="000C79A0" w:rsidRDefault="000C79A0">
      <w:pPr>
        <w:pStyle w:val="FootnoteText"/>
      </w:pPr>
      <w:r>
        <w:rPr>
          <w:rStyle w:val="FootnoteReference"/>
        </w:rPr>
        <w:footnoteRef/>
      </w:r>
      <w:r>
        <w:t xml:space="preserve"> </w:t>
      </w:r>
      <w:hyperlink r:id="rId1" w:history="1">
        <w:r w:rsidRPr="003D7A87">
          <w:rPr>
            <w:rStyle w:val="Hyperlink"/>
          </w:rPr>
          <w:t>https://cepr.net/images/stories/reports/nafta-mexico-update-2017-03.pdf?v=2</w:t>
        </w:r>
      </w:hyperlink>
      <w:r>
        <w:t xml:space="preserve"> </w:t>
      </w:r>
    </w:p>
  </w:footnote>
  <w:footnote w:id="2">
    <w:p w14:paraId="2CF4DE64" w14:textId="77777777" w:rsidR="00CC165B" w:rsidRDefault="00CC165B">
      <w:pPr>
        <w:pStyle w:val="FootnoteText"/>
      </w:pPr>
      <w:r>
        <w:rPr>
          <w:rStyle w:val="FootnoteReference"/>
        </w:rPr>
        <w:footnoteRef/>
      </w:r>
      <w:r>
        <w:t xml:space="preserve"> </w:t>
      </w:r>
      <w:hyperlink r:id="rId2" w:history="1">
        <w:r w:rsidRPr="003D7A87">
          <w:rPr>
            <w:rStyle w:val="Hyperlink"/>
          </w:rPr>
          <w:t>https://www.washingtonpost.com/opinions/2021/06/13/dont-cede-asia-pacific-china-us-must-learn-its-tpp-mistake/</w:t>
        </w:r>
      </w:hyperlink>
      <w:r>
        <w:t xml:space="preserve"> </w:t>
      </w:r>
    </w:p>
  </w:footnote>
  <w:footnote w:id="3">
    <w:p w14:paraId="49045F18" w14:textId="77777777" w:rsidR="00CC165B" w:rsidRDefault="00CC165B">
      <w:pPr>
        <w:pStyle w:val="FootnoteText"/>
      </w:pPr>
      <w:r>
        <w:rPr>
          <w:rStyle w:val="FootnoteReference"/>
        </w:rPr>
        <w:footnoteRef/>
      </w:r>
      <w:r>
        <w:t xml:space="preserve"> </w:t>
      </w:r>
      <w:hyperlink r:id="rId3" w:history="1">
        <w:r w:rsidRPr="003D7A87">
          <w:rPr>
            <w:rStyle w:val="Hyperlink"/>
          </w:rPr>
          <w:t>https://www.industryweek.com/the-economy/trade/article/22008116/how-could-the-transpacific-partnership-affect-you-or-your-business</w:t>
        </w:r>
      </w:hyperlink>
      <w:r>
        <w:t xml:space="preserve"> </w:t>
      </w:r>
    </w:p>
  </w:footnote>
  <w:footnote w:id="4">
    <w:p w14:paraId="47C10179" w14:textId="77777777" w:rsidR="000C79A0" w:rsidRDefault="000C79A0">
      <w:pPr>
        <w:pStyle w:val="FootnoteText"/>
      </w:pPr>
      <w:r>
        <w:rPr>
          <w:rStyle w:val="FootnoteReference"/>
        </w:rPr>
        <w:footnoteRef/>
      </w:r>
      <w:r>
        <w:t xml:space="preserve"> </w:t>
      </w:r>
      <w:hyperlink r:id="rId4" w:history="1">
        <w:r w:rsidRPr="003D7A87">
          <w:rPr>
            <w:rStyle w:val="Hyperlink"/>
          </w:rPr>
          <w:t>https://www.bloomberg.com/news/articles/2021-05-17/china-steps-up-efforts-to-join-trade-pact-created-to-exclude-it</w:t>
        </w:r>
      </w:hyperlink>
      <w:r>
        <w:t xml:space="preserve"> </w:t>
      </w:r>
    </w:p>
  </w:footnote>
  <w:footnote w:id="5">
    <w:p w14:paraId="52624C0F" w14:textId="77777777" w:rsidR="00CF107A" w:rsidRDefault="00CF107A">
      <w:pPr>
        <w:pStyle w:val="FootnoteText"/>
      </w:pPr>
      <w:r>
        <w:rPr>
          <w:rStyle w:val="FootnoteReference"/>
        </w:rPr>
        <w:footnoteRef/>
      </w:r>
      <w:r>
        <w:t xml:space="preserve"> </w:t>
      </w:r>
      <w:hyperlink r:id="rId5" w:history="1">
        <w:r w:rsidRPr="003D7A87">
          <w:rPr>
            <w:rStyle w:val="Hyperlink"/>
          </w:rPr>
          <w:t>https://www.citizenstrade.org/ctc/trade-policies/tpp-potential-trade-policy-problems/</w:t>
        </w:r>
      </w:hyperlink>
      <w:r>
        <w:t xml:space="preserve"> </w:t>
      </w:r>
    </w:p>
  </w:footnote>
  <w:footnote w:id="6">
    <w:p w14:paraId="200CB1C5" w14:textId="77777777" w:rsidR="00CF107A" w:rsidRDefault="00CF107A">
      <w:pPr>
        <w:pStyle w:val="FootnoteText"/>
      </w:pPr>
      <w:r>
        <w:rPr>
          <w:rStyle w:val="FootnoteReference"/>
        </w:rPr>
        <w:footnoteRef/>
      </w:r>
      <w:r>
        <w:t xml:space="preserve"> </w:t>
      </w:r>
      <w:hyperlink r:id="rId6" w:history="1">
        <w:r w:rsidRPr="003D7A87">
          <w:rPr>
            <w:rStyle w:val="Hyperlink"/>
          </w:rPr>
          <w:t>https://waysandmeans.house.gov/sites/democrats.waysandmeans.house.gov/files/documents/TPP%20Issue%20Analysis%20-%20Autos.pdf</w:t>
        </w:r>
      </w:hyperlink>
      <w:r>
        <w:t xml:space="preserve"> </w:t>
      </w:r>
    </w:p>
  </w:footnote>
  <w:footnote w:id="7">
    <w:p w14:paraId="220C8FA3" w14:textId="77777777" w:rsidR="006D1EE2" w:rsidRDefault="006D1EE2">
      <w:pPr>
        <w:pStyle w:val="FootnoteText"/>
      </w:pPr>
      <w:r>
        <w:rPr>
          <w:rStyle w:val="FootnoteReference"/>
        </w:rPr>
        <w:footnoteRef/>
      </w:r>
      <w:r>
        <w:t xml:space="preserve"> </w:t>
      </w:r>
      <w:hyperlink r:id="rId7" w:history="1">
        <w:r w:rsidRPr="003D7A87">
          <w:rPr>
            <w:rStyle w:val="Hyperlink"/>
          </w:rPr>
          <w:t>https://aflcio.org/reports/report-impacts-tpp</w:t>
        </w:r>
      </w:hyperlink>
      <w:r>
        <w:t xml:space="preserve"> </w:t>
      </w:r>
    </w:p>
  </w:footnote>
  <w:footnote w:id="8">
    <w:p w14:paraId="56EF151D" w14:textId="77777777" w:rsidR="0033777D" w:rsidRDefault="0033777D">
      <w:pPr>
        <w:pStyle w:val="FootnoteText"/>
      </w:pPr>
      <w:r>
        <w:rPr>
          <w:rStyle w:val="FootnoteReference"/>
        </w:rPr>
        <w:footnoteRef/>
      </w:r>
      <w:r>
        <w:t xml:space="preserve"> </w:t>
      </w:r>
      <w:hyperlink r:id="rId8" w:history="1">
        <w:r w:rsidRPr="003D7A87">
          <w:rPr>
            <w:rStyle w:val="Hyperlink"/>
          </w:rPr>
          <w:t>http://www.xinhuanet.com/english/2020-12/22/c_139611431.htm</w:t>
        </w:r>
      </w:hyperlink>
      <w:r>
        <w:t xml:space="preserve"> </w:t>
      </w:r>
    </w:p>
  </w:footnote>
  <w:footnote w:id="9">
    <w:p w14:paraId="2D09DC84" w14:textId="77777777" w:rsidR="00797DE4" w:rsidRDefault="00797DE4">
      <w:pPr>
        <w:pStyle w:val="FootnoteText"/>
      </w:pPr>
      <w:r>
        <w:rPr>
          <w:rStyle w:val="FootnoteReference"/>
        </w:rPr>
        <w:footnoteRef/>
      </w:r>
      <w:r>
        <w:t xml:space="preserve"> </w:t>
      </w:r>
      <w:hyperlink r:id="rId9" w:history="1">
        <w:r w:rsidRPr="003D7A87">
          <w:rPr>
            <w:rStyle w:val="Hyperlink"/>
          </w:rPr>
          <w:t>https://www.oecd.org/industry/ind/Item_5_SEAISI_March_2020.pdf</w:t>
        </w:r>
      </w:hyperlink>
      <w:r>
        <w:t xml:space="preserve"> </w:t>
      </w:r>
    </w:p>
  </w:footnote>
  <w:footnote w:id="10">
    <w:p w14:paraId="6E5D8BC4" w14:textId="77777777" w:rsidR="00EC6C1E" w:rsidRDefault="00EC6C1E">
      <w:pPr>
        <w:pStyle w:val="FootnoteText"/>
      </w:pPr>
      <w:r>
        <w:rPr>
          <w:rStyle w:val="FootnoteReference"/>
        </w:rPr>
        <w:footnoteRef/>
      </w:r>
      <w:r>
        <w:t xml:space="preserve"> </w:t>
      </w:r>
      <w:hyperlink r:id="rId10" w:history="1">
        <w:r w:rsidRPr="003D7A87">
          <w:rPr>
            <w:rStyle w:val="Hyperlink"/>
          </w:rPr>
          <w:t>https://www.congress.gov/bill/117th-congress/senate-bill/1187/text?r=2&amp;s=1</w:t>
        </w:r>
      </w:hyperlink>
      <w:r>
        <w:t xml:space="preserve"> </w:t>
      </w:r>
    </w:p>
  </w:footnote>
  <w:footnote w:id="11">
    <w:p w14:paraId="15C7D9EA" w14:textId="77777777" w:rsidR="003428D0" w:rsidRDefault="003428D0">
      <w:pPr>
        <w:pStyle w:val="FootnoteText"/>
      </w:pPr>
      <w:r>
        <w:rPr>
          <w:rStyle w:val="FootnoteReference"/>
        </w:rPr>
        <w:footnoteRef/>
      </w:r>
      <w:r>
        <w:t xml:space="preserve"> </w:t>
      </w:r>
      <w:hyperlink r:id="rId11" w:history="1">
        <w:r w:rsidRPr="003D7A87">
          <w:rPr>
            <w:rStyle w:val="Hyperlink"/>
          </w:rPr>
          <w:t>https://ustr.gov/about-us/policy-offices/press-office/press-releases/2021/june/remarks-ambassador-katherine-tai-outlining-biden-harris-administrations-worker-centered-trade-policy</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91"/>
    <w:rsid w:val="00001A91"/>
    <w:rsid w:val="00073310"/>
    <w:rsid w:val="000C79A0"/>
    <w:rsid w:val="00125AF3"/>
    <w:rsid w:val="00157830"/>
    <w:rsid w:val="001769BF"/>
    <w:rsid w:val="001B08CC"/>
    <w:rsid w:val="002065A2"/>
    <w:rsid w:val="00287060"/>
    <w:rsid w:val="002C6663"/>
    <w:rsid w:val="002D2F27"/>
    <w:rsid w:val="003275D6"/>
    <w:rsid w:val="0033777D"/>
    <w:rsid w:val="003428D0"/>
    <w:rsid w:val="003532B4"/>
    <w:rsid w:val="0040264F"/>
    <w:rsid w:val="00516CF6"/>
    <w:rsid w:val="00676E7D"/>
    <w:rsid w:val="00691FCF"/>
    <w:rsid w:val="0069477E"/>
    <w:rsid w:val="006D1EE2"/>
    <w:rsid w:val="00726FC7"/>
    <w:rsid w:val="00735A34"/>
    <w:rsid w:val="007527AE"/>
    <w:rsid w:val="00797DE4"/>
    <w:rsid w:val="008437BB"/>
    <w:rsid w:val="008518C5"/>
    <w:rsid w:val="0086355E"/>
    <w:rsid w:val="008F1868"/>
    <w:rsid w:val="00911B19"/>
    <w:rsid w:val="009A247D"/>
    <w:rsid w:val="009D105F"/>
    <w:rsid w:val="00A642A3"/>
    <w:rsid w:val="00B03FC7"/>
    <w:rsid w:val="00B33D0F"/>
    <w:rsid w:val="00B53181"/>
    <w:rsid w:val="00B57248"/>
    <w:rsid w:val="00B74E22"/>
    <w:rsid w:val="00C21D55"/>
    <w:rsid w:val="00C264F8"/>
    <w:rsid w:val="00C76E05"/>
    <w:rsid w:val="00CC165B"/>
    <w:rsid w:val="00CF107A"/>
    <w:rsid w:val="00D066C1"/>
    <w:rsid w:val="00D36515"/>
    <w:rsid w:val="00D837DA"/>
    <w:rsid w:val="00D9789D"/>
    <w:rsid w:val="00DB2D75"/>
    <w:rsid w:val="00E01CFA"/>
    <w:rsid w:val="00E05EF1"/>
    <w:rsid w:val="00EC6C1E"/>
    <w:rsid w:val="00ED4C8E"/>
    <w:rsid w:val="00FA53ED"/>
    <w:rsid w:val="00FE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715B"/>
  <w15:chartTrackingRefBased/>
  <w15:docId w15:val="{4848BD81-E132-4E55-AD46-BA6E4E20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16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65B"/>
    <w:rPr>
      <w:sz w:val="20"/>
      <w:szCs w:val="20"/>
    </w:rPr>
  </w:style>
  <w:style w:type="character" w:styleId="FootnoteReference">
    <w:name w:val="footnote reference"/>
    <w:basedOn w:val="DefaultParagraphFont"/>
    <w:uiPriority w:val="99"/>
    <w:semiHidden/>
    <w:unhideWhenUsed/>
    <w:rsid w:val="00CC165B"/>
    <w:rPr>
      <w:vertAlign w:val="superscript"/>
    </w:rPr>
  </w:style>
  <w:style w:type="character" w:styleId="Hyperlink">
    <w:name w:val="Hyperlink"/>
    <w:basedOn w:val="DefaultParagraphFont"/>
    <w:uiPriority w:val="99"/>
    <w:unhideWhenUsed/>
    <w:rsid w:val="00CC165B"/>
    <w:rPr>
      <w:color w:val="0563C1" w:themeColor="hyperlink"/>
      <w:u w:val="single"/>
    </w:rPr>
  </w:style>
  <w:style w:type="character" w:styleId="UnresolvedMention">
    <w:name w:val="Unresolved Mention"/>
    <w:basedOn w:val="DefaultParagraphFont"/>
    <w:uiPriority w:val="99"/>
    <w:semiHidden/>
    <w:unhideWhenUsed/>
    <w:rsid w:val="00CC165B"/>
    <w:rPr>
      <w:color w:val="605E5C"/>
      <w:shd w:val="clear" w:color="auto" w:fill="E1DFDD"/>
    </w:rPr>
  </w:style>
  <w:style w:type="paragraph" w:styleId="NoSpacing">
    <w:name w:val="No Spacing"/>
    <w:uiPriority w:val="1"/>
    <w:qFormat/>
    <w:rsid w:val="009A247D"/>
    <w:pPr>
      <w:spacing w:after="0" w:line="240" w:lineRule="auto"/>
    </w:pPr>
  </w:style>
  <w:style w:type="paragraph" w:styleId="BalloonText">
    <w:name w:val="Balloon Text"/>
    <w:basedOn w:val="Normal"/>
    <w:link w:val="BalloonTextChar"/>
    <w:uiPriority w:val="99"/>
    <w:semiHidden/>
    <w:unhideWhenUsed/>
    <w:rsid w:val="009A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6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xinhuanet.com/english/2020-12/22/c_139611431.htm" TargetMode="External"/><Relationship Id="rId3" Type="http://schemas.openxmlformats.org/officeDocument/2006/relationships/hyperlink" Target="https://www.industryweek.com/the-economy/trade/article/22008116/how-could-the-transpacific-partnership-affect-you-or-your-business" TargetMode="External"/><Relationship Id="rId7" Type="http://schemas.openxmlformats.org/officeDocument/2006/relationships/hyperlink" Target="https://aflcio.org/reports/report-impacts-tpp" TargetMode="External"/><Relationship Id="rId2" Type="http://schemas.openxmlformats.org/officeDocument/2006/relationships/hyperlink" Target="https://www.washingtonpost.com/opinions/2021/06/13/dont-cede-asia-pacific-china-us-must-learn-its-tpp-mistake/" TargetMode="External"/><Relationship Id="rId1" Type="http://schemas.openxmlformats.org/officeDocument/2006/relationships/hyperlink" Target="https://cepr.net/images/stories/reports/nafta-mexico-update-2017-03.pdf?v=2" TargetMode="External"/><Relationship Id="rId6" Type="http://schemas.openxmlformats.org/officeDocument/2006/relationships/hyperlink" Target="https://waysandmeans.house.gov/sites/democrats.waysandmeans.house.gov/files/documents/TPP%20Issue%20Analysis%20-%20Autos.pdf" TargetMode="External"/><Relationship Id="rId11" Type="http://schemas.openxmlformats.org/officeDocument/2006/relationships/hyperlink" Target="https://ustr.gov/about-us/policy-offices/press-office/press-releases/2021/june/remarks-ambassador-katherine-tai-outlining-biden-harris-administrations-worker-centered-trade-policy" TargetMode="External"/><Relationship Id="rId5" Type="http://schemas.openxmlformats.org/officeDocument/2006/relationships/hyperlink" Target="https://www.citizenstrade.org/ctc/trade-policies/tpp-potential-trade-policy-problems/" TargetMode="External"/><Relationship Id="rId10" Type="http://schemas.openxmlformats.org/officeDocument/2006/relationships/hyperlink" Target="https://www.congress.gov/bill/117th-congress/senate-bill/1187/text?r=2&amp;s=1" TargetMode="External"/><Relationship Id="rId4" Type="http://schemas.openxmlformats.org/officeDocument/2006/relationships/hyperlink" Target="https://www.bloomberg.com/news/articles/2021-05-17/china-steps-up-efforts-to-join-trade-pact-created-to-exclude-it" TargetMode="External"/><Relationship Id="rId9" Type="http://schemas.openxmlformats.org/officeDocument/2006/relationships/hyperlink" Target="https://www.oecd.org/industry/ind/Item_5_SEAISI_March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Houseman, Roy</dc:creator>
  <cp:keywords/>
  <dc:description/>
  <cp:lastModifiedBy>Houseman, Roy</cp:lastModifiedBy>
  <cp:revision>2</cp:revision>
  <dcterms:created xsi:type="dcterms:W3CDTF">2021-06-22T14:17:00Z</dcterms:created>
  <dcterms:modified xsi:type="dcterms:W3CDTF">2021-06-22T14:17:00Z</dcterms:modified>
</cp:coreProperties>
</file>